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Intestazione"/>
        <w:rPr/>
      </w:pPr>
      <w:r>
        <w:rPr/>
      </w:r>
    </w:p>
    <w:tbl>
      <w:tblPr>
        <w:tblStyle w:val="Grigliatabella"/>
        <w:tblW w:w="9854" w:type="dxa"/>
        <w:jc w:val="left"/>
        <w:tblInd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78" w:type="dxa"/>
          <w:bottom w:w="0" w:type="dxa"/>
          <w:right w:w="108" w:type="dxa"/>
        </w:tblCellMar>
        <w:tblLook w:val="04a0"/>
      </w:tblPr>
      <w:tblGrid>
        <w:gridCol w:w="3696"/>
        <w:gridCol w:w="3801"/>
        <w:gridCol w:w="2357"/>
      </w:tblGrid>
      <w:tr>
        <w:trPr/>
        <w:tc>
          <w:tcPr>
            <w:tcW w:w="3696"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8" w:type="dxa"/>
            </w:tcMar>
          </w:tcPr>
          <w:p>
            <w:pPr>
              <w:pStyle w:val="Intestazione"/>
              <w:widowControl w:val="false"/>
              <w:rPr/>
            </w:pPr>
            <w:r>
              <w:rPr/>
              <w:drawing>
                <wp:inline distT="0" distB="0" distL="0" distR="0">
                  <wp:extent cx="2209800" cy="1438275"/>
                  <wp:effectExtent l="0" t="0" r="0" b="0"/>
                  <wp:docPr id="1" name="Immagin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
                          <pic:cNvPicPr>
                            <a:picLocks noChangeAspect="1" noChangeArrowheads="1"/>
                          </pic:cNvPicPr>
                        </pic:nvPicPr>
                        <pic:blipFill>
                          <a:blip r:embed="rId2"/>
                          <a:stretch>
                            <a:fillRect/>
                          </a:stretch>
                        </pic:blipFill>
                        <pic:spPr bwMode="auto">
                          <a:xfrm>
                            <a:off x="0" y="0"/>
                            <a:ext cx="2209800" cy="1438275"/>
                          </a:xfrm>
                          <a:prstGeom prst="rect">
                            <a:avLst/>
                          </a:prstGeom>
                        </pic:spPr>
                      </pic:pic>
                    </a:graphicData>
                  </a:graphic>
                </wp:inline>
              </w:drawing>
            </w:r>
          </w:p>
        </w:tc>
        <w:tc>
          <w:tcPr>
            <w:tcW w:w="3801"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8" w:type="dxa"/>
            </w:tcMar>
          </w:tcPr>
          <w:p>
            <w:pPr>
              <w:pStyle w:val="Intestazione"/>
              <w:widowControl w:val="false"/>
              <w:rPr/>
            </w:pPr>
            <w:r>
              <w:rPr/>
              <mc:AlternateContent>
                <mc:Choice Requires="wps">
                  <w:drawing>
                    <wp:anchor behindDoc="0" distT="0" distB="0" distL="114300" distR="114300" simplePos="0" locked="0" layoutInCell="1" allowOverlap="1" relativeHeight="2">
                      <wp:simplePos x="0" y="0"/>
                      <wp:positionH relativeFrom="column">
                        <wp:posOffset>130175</wp:posOffset>
                      </wp:positionH>
                      <wp:positionV relativeFrom="paragraph">
                        <wp:posOffset>29845</wp:posOffset>
                      </wp:positionV>
                      <wp:extent cx="2282190" cy="1129030"/>
                      <wp:effectExtent l="0" t="0" r="0" b="0"/>
                      <wp:wrapSquare wrapText="bothSides"/>
                      <wp:docPr id="2" name="Cornice1"/>
                      <a:graphic xmlns:a="http://schemas.openxmlformats.org/drawingml/2006/main">
                        <a:graphicData uri="http://schemas.microsoft.com/office/word/2010/wordprocessingShape">
                          <wps:wsp>
                            <wps:cNvSpPr/>
                            <wps:spPr>
                              <a:xfrm>
                                <a:off x="0" y="0"/>
                                <a:ext cx="2281680" cy="1128240"/>
                              </a:xfrm>
                              <a:prstGeom prst="rect">
                                <a:avLst/>
                              </a:prstGeom>
                              <a:solidFill>
                                <a:srgbClr val="ffffff"/>
                              </a:solidFill>
                              <a:ln>
                                <a:noFill/>
                              </a:ln>
                            </wps:spPr>
                            <wps:style>
                              <a:lnRef idx="0"/>
                              <a:fillRef idx="0"/>
                              <a:effectRef idx="0"/>
                              <a:fontRef idx="minor"/>
                            </wps:style>
                            <wps:txbx>
                              <w:txbxContent>
                                <w:p>
                                  <w:pPr>
                                    <w:pStyle w:val="Contenutocornice"/>
                                    <w:widowControl w:val="false"/>
                                    <w:spacing w:lineRule="auto" w:line="360"/>
                                    <w:jc w:val="center"/>
                                    <w:rPr/>
                                  </w:pPr>
                                  <w:r>
                                    <w:rPr>
                                      <w:color w:val="002060"/>
                                      <w:sz w:val="32"/>
                                      <w:szCs w:val="32"/>
                                    </w:rPr>
                                    <w:t>AZIENDA SANITARIA PROVINCIALE</w:t>
                                  </w:r>
                                </w:p>
                                <w:p>
                                  <w:pPr>
                                    <w:pStyle w:val="Contenutocornice"/>
                                    <w:widowControl w:val="false"/>
                                    <w:spacing w:lineRule="auto" w:line="360"/>
                                    <w:jc w:val="center"/>
                                    <w:rPr/>
                                  </w:pPr>
                                  <w:r>
                                    <w:rPr>
                                      <w:color w:val="002060"/>
                                      <w:sz w:val="32"/>
                                      <w:szCs w:val="32"/>
                                    </w:rPr>
                                    <w:t xml:space="preserve"> </w:t>
                                  </w:r>
                                  <w:r>
                                    <w:rPr>
                                      <w:color w:val="002060"/>
                                      <w:sz w:val="32"/>
                                      <w:szCs w:val="32"/>
                                    </w:rPr>
                                    <w:t xml:space="preserve">CATANZARO </w:t>
                                  </w:r>
                                </w:p>
                              </w:txbxContent>
                            </wps:txbx>
                            <wps:bodyPr>
                              <a:noAutofit/>
                            </wps:bodyPr>
                          </wps:wsp>
                        </a:graphicData>
                      </a:graphic>
                    </wp:anchor>
                  </w:drawing>
                </mc:Choice>
                <mc:Fallback>
                  <w:pict>
                    <v:rect id="shape_0" ID="Cornice1" fillcolor="white" stroked="f" style="position:absolute;margin-left:10.25pt;margin-top:2.35pt;width:179.6pt;height:88.8pt">
                      <w10:wrap type="square"/>
                      <v:fill o:detectmouseclick="t" type="solid" color2="black"/>
                      <v:stroke color="#3465a4" joinstyle="round" endcap="flat"/>
                      <v:textbox>
                        <w:txbxContent>
                          <w:p>
                            <w:pPr>
                              <w:pStyle w:val="Contenutocornice"/>
                              <w:widowControl w:val="false"/>
                              <w:spacing w:lineRule="auto" w:line="360"/>
                              <w:jc w:val="center"/>
                              <w:rPr/>
                            </w:pPr>
                            <w:r>
                              <w:rPr>
                                <w:color w:val="002060"/>
                                <w:sz w:val="32"/>
                                <w:szCs w:val="32"/>
                              </w:rPr>
                              <w:t>AZIENDA SANITARIA PROVINCIALE</w:t>
                            </w:r>
                          </w:p>
                          <w:p>
                            <w:pPr>
                              <w:pStyle w:val="Contenutocornice"/>
                              <w:widowControl w:val="false"/>
                              <w:spacing w:lineRule="auto" w:line="360"/>
                              <w:jc w:val="center"/>
                              <w:rPr/>
                            </w:pPr>
                            <w:r>
                              <w:rPr>
                                <w:color w:val="002060"/>
                                <w:sz w:val="32"/>
                                <w:szCs w:val="32"/>
                              </w:rPr>
                              <w:t xml:space="preserve"> </w:t>
                            </w:r>
                            <w:r>
                              <w:rPr>
                                <w:color w:val="002060"/>
                                <w:sz w:val="32"/>
                                <w:szCs w:val="32"/>
                              </w:rPr>
                              <w:t xml:space="preserve">CATANZARO </w:t>
                            </w:r>
                          </w:p>
                        </w:txbxContent>
                      </v:textbox>
                    </v:rect>
                  </w:pict>
                </mc:Fallback>
              </mc:AlternateContent>
            </w:r>
          </w:p>
        </w:tc>
        <w:tc>
          <w:tcPr>
            <w:tcW w:w="2357"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8" w:type="dxa"/>
            </w:tcMar>
          </w:tcPr>
          <w:p>
            <w:pPr>
              <w:pStyle w:val="Intestazione"/>
              <w:widowControl w:val="false"/>
              <w:jc w:val="center"/>
              <w:rPr/>
            </w:pPr>
            <w:r>
              <w:rPr/>
              <w:drawing>
                <wp:inline distT="0" distB="0" distL="0" distR="0">
                  <wp:extent cx="671195" cy="828675"/>
                  <wp:effectExtent l="0" t="0" r="0" b="0"/>
                  <wp:docPr id="4" name="Immagin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descr=""/>
                          <pic:cNvPicPr>
                            <a:picLocks noChangeAspect="1" noChangeArrowheads="1"/>
                          </pic:cNvPicPr>
                        </pic:nvPicPr>
                        <pic:blipFill>
                          <a:blip r:embed="rId3"/>
                          <a:stretch>
                            <a:fillRect/>
                          </a:stretch>
                        </pic:blipFill>
                        <pic:spPr bwMode="auto">
                          <a:xfrm>
                            <a:off x="0" y="0"/>
                            <a:ext cx="671195" cy="828675"/>
                          </a:xfrm>
                          <a:prstGeom prst="rect">
                            <a:avLst/>
                          </a:prstGeom>
                        </pic:spPr>
                      </pic:pic>
                    </a:graphicData>
                  </a:graphic>
                </wp:inline>
              </w:drawing>
            </w:r>
          </w:p>
          <w:p>
            <w:pPr>
              <w:pStyle w:val="Intestazione"/>
              <w:widowControl w:val="false"/>
              <w:jc w:val="center"/>
              <w:rPr/>
            </w:pPr>
            <w:r>
              <w:rPr/>
            </w:r>
          </w:p>
          <w:p>
            <w:pPr>
              <w:pStyle w:val="Contenutocornice"/>
              <w:widowControl w:val="false"/>
              <w:jc w:val="center"/>
              <w:rPr/>
            </w:pPr>
            <w:r>
              <w:rPr>
                <w:color w:val="002060"/>
              </w:rPr>
              <w:t>REGIONE CALABRIA</w:t>
            </w:r>
          </w:p>
          <w:p>
            <w:pPr>
              <w:pStyle w:val="Intestazione"/>
              <w:widowControl w:val="false"/>
              <w:jc w:val="center"/>
              <w:rPr/>
            </w:pPr>
            <w:r>
              <w:rPr/>
            </w:r>
          </w:p>
        </w:tc>
      </w:tr>
      <w:tr>
        <w:trPr/>
        <w:tc>
          <w:tcPr>
            <w:tcW w:w="9854" w:type="dxa"/>
            <w:gridSpan w:val="3"/>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8" w:type="dxa"/>
            </w:tcMar>
          </w:tcPr>
          <w:p>
            <w:pPr>
              <w:pStyle w:val="NormalWeb"/>
              <w:widowControl w:val="false"/>
              <w:spacing w:before="280" w:after="0"/>
              <w:jc w:val="center"/>
              <w:rPr/>
            </w:pPr>
            <w:r>
              <w:rPr>
                <w:b/>
                <w:bCs/>
                <w:i/>
                <w:iCs/>
                <w:sz w:val="22"/>
                <w:szCs w:val="22"/>
              </w:rPr>
              <w:t>ASP di Catanzaro UO Provveditorato Logistica Gestione Logistica</w:t>
            </w:r>
          </w:p>
        </w:tc>
      </w:tr>
    </w:tbl>
    <w:p>
      <w:pPr>
        <w:pStyle w:val="Intestazione"/>
        <w:jc w:val="center"/>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p>
    <w:p>
      <w:pPr>
        <w:pStyle w:val="Normal"/>
        <w:spacing w:lineRule="auto" w:line="259"/>
        <w:ind w:left="10" w:right="9" w:hanging="10"/>
        <w:jc w:val="center"/>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p>
    <w:p>
      <w:pPr>
        <w:pStyle w:val="Normal"/>
        <w:spacing w:lineRule="auto" w:line="259"/>
        <w:ind w:left="10" w:right="9" w:hanging="10"/>
        <w:jc w:val="center"/>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p>
    <w:p>
      <w:pPr>
        <w:pStyle w:val="Normal"/>
        <w:spacing w:lineRule="auto" w:line="259"/>
        <w:ind w:left="10" w:right="9" w:hanging="10"/>
        <w:jc w:val="center"/>
        <w:rPr>
          <w:rFonts w:ascii="Arial" w:hAnsi="Arial" w:cs="Arial" w:asciiTheme="minorBidi" w:cstheme="minorBidi" w:hAnsiTheme="minorBidi"/>
          <w:b/>
          <w:b/>
          <w:bCs/>
          <w:sz w:val="36"/>
          <w:szCs w:val="36"/>
        </w:rPr>
      </w:pPr>
      <w:r>
        <w:rPr>
          <w:rFonts w:eastAsia="Times New Roman" w:cs="Arial" w:ascii="Times New Roman" w:hAnsi="Times New Roman" w:cstheme="minorBidi"/>
          <w:b/>
          <w:bCs/>
          <w:sz w:val="24"/>
          <w:szCs w:val="24"/>
        </w:rPr>
        <w:t>CAPITOLATO SPECIALE D’APPALTO</w:t>
      </w:r>
    </w:p>
    <w:p>
      <w:pPr>
        <w:pStyle w:val="Normal"/>
        <w:spacing w:lineRule="auto" w:line="259"/>
        <w:ind w:left="53" w:hanging="0"/>
        <w:jc w:val="center"/>
        <w:rPr>
          <w:rFonts w:ascii="Arial" w:hAnsi="Arial" w:cs="Arial" w:asciiTheme="minorBidi" w:cstheme="minorBidi" w:hAnsiTheme="minorBidi"/>
          <w:b/>
          <w:b/>
          <w:bCs/>
          <w:sz w:val="36"/>
          <w:szCs w:val="36"/>
        </w:rPr>
      </w:pPr>
      <w:r>
        <w:rPr>
          <w:rFonts w:eastAsia="Times New Roman" w:cs="Arial" w:ascii="Times New Roman" w:hAnsi="Times New Roman" w:cstheme="minorBidi"/>
          <w:b/>
          <w:bCs/>
          <w:sz w:val="24"/>
          <w:szCs w:val="24"/>
        </w:rPr>
        <w:t xml:space="preserve"> </w:t>
      </w:r>
    </w:p>
    <w:p>
      <w:pPr>
        <w:pStyle w:val="Normal"/>
        <w:spacing w:lineRule="auto" w:line="259"/>
        <w:ind w:left="0" w:hanging="0"/>
        <w:jc w:val="left"/>
        <w:rPr>
          <w:rFonts w:ascii="Times New Roman" w:hAnsi="Times New Roman"/>
          <w:sz w:val="24"/>
          <w:szCs w:val="24"/>
        </w:rPr>
      </w:pPr>
      <w:r>
        <w:rPr>
          <w:rFonts w:eastAsia="Times New Roman" w:cs="Times New Roman" w:ascii="Times New Roman" w:hAnsi="Times New Roman"/>
          <w:sz w:val="24"/>
          <w:szCs w:val="24"/>
        </w:rPr>
        <w:t xml:space="preserve"> </w:t>
      </w:r>
    </w:p>
    <w:p>
      <w:pPr>
        <w:pStyle w:val="Normal"/>
        <w:spacing w:before="0" w:after="103"/>
        <w:ind w:left="0" w:right="4" w:hanging="0"/>
        <w:rPr/>
      </w:pPr>
      <w:r>
        <w:rPr>
          <w:rFonts w:eastAsia="Times New Roman" w:cs="Arial" w:ascii="Times New Roman" w:hAnsi="Times New Roman" w:cstheme="minorBidi"/>
          <w:b/>
          <w:bCs/>
          <w:sz w:val="24"/>
          <w:szCs w:val="24"/>
        </w:rPr>
        <w:t xml:space="preserve">Gara comunitaria a procedura aperta, ai sensi dell’art. 71 del D.Lgs. 36/2023, per la fornitura di sacche multidose e pluriprelievo di farmaci chemioterapici antiblastici e servizi accessori consistenti nella realizzazione “chiavi in mano” di un centro U.F.A. presso il P.O. di Lamezia Terme. </w:t>
      </w:r>
    </w:p>
    <w:p>
      <w:pPr>
        <w:pStyle w:val="Normal"/>
        <w:spacing w:before="0" w:after="103"/>
        <w:ind w:left="0" w:right="4" w:hanging="0"/>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p>
    <w:p>
      <w:pPr>
        <w:pStyle w:val="Normal"/>
        <w:spacing w:before="0" w:after="103"/>
        <w:ind w:left="0" w:right="4" w:hanging="0"/>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p>
    <w:p>
      <w:pPr>
        <w:pStyle w:val="Normal"/>
        <w:spacing w:before="0" w:after="103"/>
        <w:ind w:left="0" w:right="4" w:hanging="0"/>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p>
    <w:p>
      <w:pPr>
        <w:pStyle w:val="Normal"/>
        <w:spacing w:before="0" w:after="103"/>
        <w:ind w:left="0" w:right="4" w:hanging="0"/>
        <w:rPr>
          <w:rFonts w:ascii="Arial" w:hAnsi="Arial" w:eastAsia="Times New Roman" w:cs="Arial" w:asciiTheme="minorBidi" w:cstheme="minorBidi" w:hAnsiTheme="minorBidi"/>
          <w:b/>
          <w:b/>
          <w:bCs/>
          <w:sz w:val="28"/>
          <w:szCs w:val="28"/>
        </w:rPr>
      </w:pPr>
      <w:r>
        <w:rPr>
          <w:rFonts w:eastAsia="Times New Roman" w:cs="Arial" w:cstheme="minorBidi"/>
          <w:b/>
          <w:bCs/>
          <w:sz w:val="28"/>
          <w:szCs w:val="28"/>
        </w:rPr>
      </w:r>
    </w:p>
    <w:p>
      <w:pPr>
        <w:pStyle w:val="Normal"/>
        <w:spacing w:before="0" w:after="103"/>
        <w:ind w:left="0" w:right="4" w:hanging="0"/>
        <w:rPr>
          <w:rFonts w:ascii="Arial" w:hAnsi="Arial" w:eastAsia="Times New Roman" w:cs="Arial" w:asciiTheme="minorBidi" w:cstheme="minorBidi" w:hAnsiTheme="minorBidi"/>
          <w:b/>
          <w:b/>
          <w:bCs/>
          <w:sz w:val="28"/>
          <w:szCs w:val="28"/>
        </w:rPr>
      </w:pPr>
      <w:r>
        <w:rPr>
          <w:rFonts w:eastAsia="Times New Roman" w:cs="Arial" w:cstheme="minorBidi"/>
          <w:b/>
          <w:bCs/>
          <w:sz w:val="28"/>
          <w:szCs w:val="28"/>
        </w:rPr>
      </w:r>
    </w:p>
    <w:p>
      <w:pPr>
        <w:pStyle w:val="Normal"/>
        <w:spacing w:before="0" w:after="103"/>
        <w:ind w:left="0" w:right="4" w:hanging="0"/>
        <w:rPr>
          <w:rFonts w:ascii="Arial" w:hAnsi="Arial" w:eastAsia="Times New Roman" w:cs="Arial" w:asciiTheme="minorBidi" w:cstheme="minorBidi" w:hAnsiTheme="minorBidi"/>
          <w:b/>
          <w:b/>
          <w:bCs/>
          <w:sz w:val="28"/>
          <w:szCs w:val="28"/>
        </w:rPr>
      </w:pPr>
      <w:r>
        <w:rPr>
          <w:rFonts w:eastAsia="Times New Roman" w:cs="Arial" w:cstheme="minorBidi"/>
          <w:b/>
          <w:bCs/>
          <w:sz w:val="28"/>
          <w:szCs w:val="28"/>
        </w:rPr>
      </w:r>
    </w:p>
    <w:p>
      <w:pPr>
        <w:pStyle w:val="Normal"/>
        <w:spacing w:before="0" w:after="103"/>
        <w:ind w:left="0" w:right="4" w:hanging="0"/>
        <w:rPr>
          <w:rFonts w:ascii="Arial" w:hAnsi="Arial" w:eastAsia="Times New Roman" w:cs="Arial" w:asciiTheme="minorBidi" w:cstheme="minorBidi" w:hAnsiTheme="minorBidi"/>
          <w:b/>
          <w:b/>
          <w:bCs/>
          <w:sz w:val="28"/>
          <w:szCs w:val="28"/>
        </w:rPr>
      </w:pPr>
      <w:r>
        <w:rPr>
          <w:rFonts w:eastAsia="Times New Roman" w:cs="Arial" w:cstheme="minorBidi"/>
          <w:b/>
          <w:bCs/>
          <w:sz w:val="28"/>
          <w:szCs w:val="28"/>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sdt>
      <w:sdtPr>
        <w:docPartObj>
          <w:docPartGallery w:val="Table of Contents"/>
          <w:docPartUnique w:val="true"/>
        </w:docPartObj>
      </w:sdtPr>
      <w:sdtContent>
        <w:p>
          <w:pPr>
            <w:pStyle w:val="TOAHeading"/>
            <w:suppressLineNumbers/>
            <w:ind w:left="0" w:hanging="0"/>
            <w:rPr/>
          </w:pPr>
          <w:r>
            <w:rPr>
              <w:rFonts w:ascii="Times New Roman" w:hAnsi="Times New Roman"/>
              <w:b/>
              <w:bCs/>
              <w:color w:val="000000"/>
              <w:sz w:val="24"/>
              <w:szCs w:val="24"/>
            </w:rPr>
            <w:t>Indice generale</w:t>
          </w:r>
        </w:p>
        <w:p>
          <w:pPr>
            <w:pStyle w:val="Indice1"/>
            <w:tabs>
              <w:tab w:val="right" w:pos="9690" w:leader="dot"/>
            </w:tabs>
            <w:rPr/>
          </w:pPr>
          <w:r>
            <w:fldChar w:fldCharType="begin"/>
          </w:r>
          <w:r>
            <w:instrText> TOC \f \o "1-9" \h</w:instrText>
          </w:r>
          <w:r>
            <w:fldChar w:fldCharType="separate"/>
          </w:r>
          <w:hyperlink w:anchor="__RefHeading___Toc18861_272525276">
            <w:r>
              <w:rPr>
                <w:rStyle w:val="Saltoaindice"/>
              </w:rPr>
              <w:t>Premessa</w:t>
              <w:tab/>
              <w:t>3</w:t>
            </w:r>
          </w:hyperlink>
        </w:p>
        <w:p>
          <w:pPr>
            <w:pStyle w:val="Indice1"/>
            <w:tabs>
              <w:tab w:val="right" w:pos="9690" w:leader="dot"/>
            </w:tabs>
            <w:rPr/>
          </w:pPr>
          <w:hyperlink w:anchor="__RefHeading___Toc18863_272525276">
            <w:r>
              <w:rPr>
                <w:rStyle w:val="Saltoaindice"/>
              </w:rPr>
              <w:t>1. Oggetto dell’appalto</w:t>
              <w:tab/>
              <w:t>4</w:t>
            </w:r>
          </w:hyperlink>
        </w:p>
        <w:p>
          <w:pPr>
            <w:pStyle w:val="Indice1"/>
            <w:tabs>
              <w:tab w:val="right" w:pos="9690" w:leader="dot"/>
            </w:tabs>
            <w:rPr/>
          </w:pPr>
          <w:hyperlink w:anchor="__RefHeading___Toc18865_272525276">
            <w:r>
              <w:rPr>
                <w:rStyle w:val="Saltoaindice"/>
              </w:rPr>
              <w:t>2. Durata dell’appalto</w:t>
              <w:tab/>
              <w:t>4</w:t>
            </w:r>
          </w:hyperlink>
        </w:p>
        <w:p>
          <w:pPr>
            <w:pStyle w:val="Indice1"/>
            <w:tabs>
              <w:tab w:val="right" w:pos="9690" w:leader="dot"/>
            </w:tabs>
            <w:rPr/>
          </w:pPr>
          <w:hyperlink w:anchor="__RefHeading___Toc18867_272525276">
            <w:r>
              <w:rPr>
                <w:rStyle w:val="Saltoaindice"/>
              </w:rPr>
              <w:t>3. Importo a base d’asta</w:t>
              <w:tab/>
              <w:t>4</w:t>
            </w:r>
          </w:hyperlink>
        </w:p>
        <w:p>
          <w:pPr>
            <w:pStyle w:val="Indice1"/>
            <w:tabs>
              <w:tab w:val="right" w:pos="9690" w:leader="dot"/>
            </w:tabs>
            <w:rPr/>
          </w:pPr>
          <w:hyperlink w:anchor="__RefHeading___Toc18876_272525276">
            <w:r>
              <w:rPr>
                <w:rStyle w:val="Saltoaindice"/>
              </w:rPr>
              <w:t>4. Caratteristiche tecniche dei prodotti</w:t>
              <w:tab/>
              <w:t>4</w:t>
            </w:r>
          </w:hyperlink>
        </w:p>
        <w:p>
          <w:pPr>
            <w:pStyle w:val="Indice1"/>
            <w:tabs>
              <w:tab w:val="right" w:pos="9690" w:leader="dot"/>
            </w:tabs>
            <w:rPr/>
          </w:pPr>
          <w:hyperlink w:anchor="__RefHeading___Toc18878_272525276">
            <w:r>
              <w:rPr>
                <w:rStyle w:val="Saltoaindice"/>
              </w:rPr>
              <w:t>5. Servizi accessori</w:t>
              <w:tab/>
              <w:t>7</w:t>
            </w:r>
          </w:hyperlink>
        </w:p>
        <w:p>
          <w:pPr>
            <w:pStyle w:val="Indice1"/>
            <w:tabs>
              <w:tab w:val="right" w:pos="9690" w:leader="dot"/>
            </w:tabs>
            <w:rPr/>
          </w:pPr>
          <w:hyperlink w:anchor="__RefHeading___Toc18880_272525276">
            <w:r>
              <w:rPr>
                <w:rStyle w:val="Saltoaindice"/>
              </w:rPr>
              <w:t>6. Obblighi dell’aggiudicatario – Riservatezza</w:t>
              <w:tab/>
              <w:t>8</w:t>
            </w:r>
          </w:hyperlink>
        </w:p>
        <w:p>
          <w:pPr>
            <w:pStyle w:val="Indice1"/>
            <w:tabs>
              <w:tab w:val="right" w:pos="9690" w:leader="dot"/>
            </w:tabs>
            <w:rPr/>
          </w:pPr>
          <w:hyperlink w:anchor="__RefHeading___Toc18882_272525276">
            <w:r>
              <w:rPr>
                <w:rStyle w:val="Saltoaindice"/>
              </w:rPr>
              <w:t>7. Direzione dell’esecuzione, controlli e verifiche della fornitura</w:t>
              <w:tab/>
              <w:t>8</w:t>
            </w:r>
          </w:hyperlink>
        </w:p>
        <w:p>
          <w:pPr>
            <w:pStyle w:val="Indice1"/>
            <w:tabs>
              <w:tab w:val="right" w:pos="9690" w:leader="dot"/>
            </w:tabs>
            <w:rPr/>
          </w:pPr>
          <w:hyperlink w:anchor="__RefHeading___Toc18884_272525276">
            <w:r>
              <w:rPr>
                <w:rStyle w:val="Saltoaindice"/>
              </w:rPr>
              <w:t>8. Innovazione tecnologica</w:t>
              <w:tab/>
              <w:t>9</w:t>
            </w:r>
          </w:hyperlink>
        </w:p>
        <w:p>
          <w:pPr>
            <w:pStyle w:val="Indice1"/>
            <w:tabs>
              <w:tab w:val="right" w:pos="9690" w:leader="dot"/>
            </w:tabs>
            <w:rPr/>
          </w:pPr>
          <w:hyperlink w:anchor="__RefHeading___Toc18886_272525276">
            <w:r>
              <w:rPr>
                <w:rStyle w:val="Saltoaindice"/>
              </w:rPr>
              <w:t>9. Referente dell’appaltatore</w:t>
              <w:tab/>
              <w:t>10</w:t>
            </w:r>
          </w:hyperlink>
        </w:p>
        <w:p>
          <w:pPr>
            <w:pStyle w:val="Indice1"/>
            <w:tabs>
              <w:tab w:val="right" w:pos="9690" w:leader="dot"/>
            </w:tabs>
            <w:rPr/>
          </w:pPr>
          <w:hyperlink w:anchor="__RefHeading___Toc18888_272525276">
            <w:r>
              <w:rPr>
                <w:rStyle w:val="Saltoaindice"/>
              </w:rPr>
              <w:t>10. Responsabilità</w:t>
              <w:tab/>
              <w:t>10</w:t>
            </w:r>
          </w:hyperlink>
        </w:p>
        <w:p>
          <w:pPr>
            <w:pStyle w:val="Indice1"/>
            <w:tabs>
              <w:tab w:val="right" w:pos="9690" w:leader="dot"/>
            </w:tabs>
            <w:rPr/>
          </w:pPr>
          <w:hyperlink w:anchor="__RefHeading___Toc18890_272525276">
            <w:r>
              <w:rPr>
                <w:rStyle w:val="Saltoaindice"/>
              </w:rPr>
              <w:t>11. Garanzia definitiva</w:t>
              <w:tab/>
              <w:t>10</w:t>
            </w:r>
          </w:hyperlink>
        </w:p>
        <w:p>
          <w:pPr>
            <w:pStyle w:val="Indice1"/>
            <w:tabs>
              <w:tab w:val="right" w:pos="9690" w:leader="dot"/>
            </w:tabs>
            <w:rPr/>
          </w:pPr>
          <w:hyperlink w:anchor="__RefHeading___Toc18892_272525276">
            <w:r>
              <w:rPr>
                <w:rStyle w:val="Saltoaindice"/>
              </w:rPr>
              <w:t>12. Penali</w:t>
              <w:tab/>
              <w:t>11</w:t>
            </w:r>
          </w:hyperlink>
        </w:p>
        <w:p>
          <w:pPr>
            <w:pStyle w:val="Indice1"/>
            <w:tabs>
              <w:tab w:val="right" w:pos="9690" w:leader="dot"/>
            </w:tabs>
            <w:rPr/>
          </w:pPr>
          <w:hyperlink w:anchor="__RefHeading___Toc18894_272525276">
            <w:r>
              <w:rPr>
                <w:rStyle w:val="Saltoaindice"/>
              </w:rPr>
              <w:t>13. Risoluzione del contratto e condizione risolutiva</w:t>
              <w:tab/>
              <w:t>12</w:t>
            </w:r>
          </w:hyperlink>
        </w:p>
        <w:p>
          <w:pPr>
            <w:pStyle w:val="Indice1"/>
            <w:tabs>
              <w:tab w:val="right" w:pos="9690" w:leader="dot"/>
            </w:tabs>
            <w:rPr/>
          </w:pPr>
          <w:hyperlink w:anchor="__RefHeading___Toc18896_272525276">
            <w:r>
              <w:rPr>
                <w:rStyle w:val="Saltoaindice"/>
              </w:rPr>
              <w:t>14. Cessione del Contratto</w:t>
              <w:tab/>
              <w:t>14</w:t>
            </w:r>
          </w:hyperlink>
        </w:p>
        <w:p>
          <w:pPr>
            <w:pStyle w:val="Indice1"/>
            <w:tabs>
              <w:tab w:val="right" w:pos="9690" w:leader="dot"/>
            </w:tabs>
            <w:rPr/>
          </w:pPr>
          <w:hyperlink w:anchor="__RefHeading___Toc18898_272525276">
            <w:r>
              <w:rPr>
                <w:rStyle w:val="Saltoaindice"/>
              </w:rPr>
              <w:t>15. Spese, imposte e tasse</w:t>
              <w:tab/>
              <w:t>14</w:t>
            </w:r>
          </w:hyperlink>
        </w:p>
        <w:p>
          <w:pPr>
            <w:pStyle w:val="Indice1"/>
            <w:tabs>
              <w:tab w:val="right" w:pos="9690" w:leader="dot"/>
            </w:tabs>
            <w:rPr/>
          </w:pPr>
          <w:hyperlink w:anchor="__RefHeading___Toc18900_272525276">
            <w:r>
              <w:rPr>
                <w:rStyle w:val="Saltoaindice"/>
              </w:rPr>
              <w:t>16. Foro competente</w:t>
              <w:tab/>
              <w:t>14</w:t>
            </w:r>
          </w:hyperlink>
          <w:r>
            <w:fldChar w:fldCharType="end"/>
          </w:r>
        </w:p>
      </w:sdtContent>
    </w:sdt>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Normal"/>
        <w:widowControl w:val="false"/>
        <w:numPr>
          <w:ilvl w:val="0"/>
          <w:numId w:val="0"/>
        </w:numPr>
        <w:spacing w:lineRule="auto" w:line="240" w:before="0" w:after="0"/>
        <w:ind w:left="10" w:hanging="10"/>
        <w:outlineLvl w:val="0"/>
        <w:rPr>
          <w:rFonts w:ascii="Times New Roman" w:hAnsi="Times New Roman" w:eastAsia="Calibri" w:cs="Calibri"/>
          <w:b/>
          <w:b/>
          <w:bCs/>
          <w:color w:val="FF3333"/>
          <w:spacing w:val="-2"/>
          <w:sz w:val="24"/>
          <w:szCs w:val="24"/>
        </w:rPr>
      </w:pPr>
      <w:r>
        <w:rPr>
          <w:rFonts w:eastAsia="Calibri" w:cs="Calibri" w:ascii="Times New Roman" w:hAnsi="Times New Roman"/>
          <w:b/>
          <w:bCs/>
          <w:color w:val="FF3333"/>
          <w:spacing w:val="-2"/>
          <w:sz w:val="24"/>
          <w:szCs w:val="24"/>
        </w:rPr>
      </w:r>
    </w:p>
    <w:p>
      <w:pPr>
        <w:pStyle w:val="Titolo1"/>
        <w:rPr>
          <w:rFonts w:ascii="Times New Roman" w:hAnsi="Times New Roman" w:eastAsia="Calibri" w:cs="Calibri"/>
          <w:b/>
          <w:b/>
          <w:bCs/>
          <w:spacing w:val="-2"/>
          <w:sz w:val="24"/>
          <w:szCs w:val="24"/>
        </w:rPr>
      </w:pPr>
      <w:r>
        <w:rPr>
          <w:rFonts w:eastAsia="Calibri" w:cs="Calibri" w:ascii="Times New Roman" w:hAnsi="Times New Roman"/>
          <w:b/>
          <w:bCs/>
          <w:spacing w:val="-2"/>
          <w:sz w:val="24"/>
          <w:szCs w:val="24"/>
        </w:rPr>
      </w:r>
    </w:p>
    <w:p>
      <w:pPr>
        <w:pStyle w:val="Normal"/>
        <w:widowControl w:val="false"/>
        <w:spacing w:lineRule="auto" w:line="240" w:before="0" w:after="0"/>
        <w:ind w:left="0" w:right="108" w:hanging="0"/>
        <w:jc w:val="both"/>
        <w:rPr>
          <w:rFonts w:eastAsia="Calibri" w:cs="Calibri"/>
          <w:spacing w:val="-2"/>
        </w:rPr>
      </w:pPr>
      <w:r>
        <w:rPr>
          <w:rFonts w:eastAsia="Calibri" w:cs="Calibri"/>
          <w:spacing w:val="-2"/>
        </w:rPr>
      </w:r>
    </w:p>
    <w:p>
      <w:pPr>
        <w:pStyle w:val="Normal"/>
        <w:widowControl w:val="false"/>
        <w:spacing w:lineRule="auto" w:line="240" w:before="0" w:after="0"/>
        <w:ind w:left="0" w:right="108" w:hanging="0"/>
        <w:jc w:val="both"/>
        <w:rPr>
          <w:rFonts w:eastAsia="Calibri" w:cs="Calibri"/>
          <w:spacing w:val="-2"/>
        </w:rPr>
      </w:pPr>
      <w:r>
        <w:rPr>
          <w:rFonts w:eastAsia="Calibri" w:cs="Calibri"/>
          <w:spacing w:val="-2"/>
        </w:rPr>
      </w:r>
    </w:p>
    <w:p>
      <w:pPr>
        <w:pStyle w:val="Normal"/>
        <w:spacing w:before="0" w:after="103"/>
        <w:ind w:left="0" w:right="4" w:hanging="0"/>
        <w:rPr>
          <w:rFonts w:ascii="Times New Roman" w:hAnsi="Times New Roman" w:eastAsia="Times New Roman" w:cs="Arial" w:cstheme="minorBidi"/>
          <w:b/>
          <w:b/>
          <w:bCs/>
          <w:sz w:val="24"/>
          <w:szCs w:val="24"/>
        </w:rPr>
      </w:pPr>
      <w:r>
        <w:rPr>
          <w:rFonts w:eastAsia="Times New Roman" w:cs="Arial" w:cstheme="minorBidi" w:ascii="Times New Roman" w:hAnsi="Times New Roman"/>
          <w:b/>
          <w:bCs/>
          <w:sz w:val="24"/>
          <w:szCs w:val="24"/>
        </w:rPr>
      </w:r>
      <w:r>
        <w:br w:type="page"/>
      </w:r>
    </w:p>
    <w:p>
      <w:pPr>
        <w:pStyle w:val="Titolo1"/>
        <w:jc w:val="left"/>
        <w:rPr>
          <w:rFonts w:ascii="Times New Roman" w:hAnsi="Times New Roman"/>
          <w:b/>
          <w:b/>
          <w:bCs/>
          <w:sz w:val="28"/>
          <w:szCs w:val="28"/>
        </w:rPr>
      </w:pPr>
      <w:bookmarkStart w:id="0" w:name="__RefHeading___Toc18861_272525276"/>
      <w:bookmarkEnd w:id="0"/>
      <w:r>
        <w:rPr>
          <w:rFonts w:ascii="Times New Roman" w:hAnsi="Times New Roman"/>
          <w:b/>
          <w:bCs/>
          <w:color w:val="000000"/>
          <w:sz w:val="28"/>
          <w:szCs w:val="28"/>
        </w:rPr>
        <w:t>Premessa</w:t>
      </w:r>
    </w:p>
    <w:p>
      <w:pPr>
        <w:pStyle w:val="Default"/>
        <w:spacing w:lineRule="auto" w:line="360"/>
        <w:jc w:val="both"/>
        <w:rPr>
          <w:rFonts w:ascii="Times New Roman" w:hAnsi="Times New Roman"/>
          <w:sz w:val="24"/>
          <w:szCs w:val="24"/>
        </w:rPr>
      </w:pPr>
      <w:r>
        <w:rPr>
          <w:rFonts w:cs="Arial" w:ascii="Times New Roman" w:hAnsi="Times New Roman" w:cstheme="minorBidi"/>
          <w:sz w:val="24"/>
          <w:szCs w:val="24"/>
        </w:rPr>
        <w:t>L’Unità Farmaci Antiblastici dell’ASP di Catanzaro, istituita con Delibera n. 432 del 04.06.2013 del Direttore Generale dell’A.S.P. di Catanzaro, ma effettivamente operante da maggio 2016, sotto la diretta responsabilità dell’U.O.C. Farmacia Ospedaliera del Presidio Ospedaliero di Lamezia Terme, si occupa della manipolazione dei farmaci antiblastici destinati ai pazienti che insistono nell’Area Centrale della Calabria, estesa da Catanzaro fino a Lamezia ivi incluso il comprensorio Lametino. Si occupa altresì delle preparazione di chemioterapici per i pazienti che affluiscono presso l’Ambulatorio di Oncologia del Presidio Ospedaliero di Soverato e che gravitano nell’area Ionica.</w:t>
      </w:r>
    </w:p>
    <w:p>
      <w:pPr>
        <w:pStyle w:val="Normal"/>
        <w:textAlignment w:val="baseline"/>
        <w:rPr>
          <w:rFonts w:ascii="Times New Roman" w:hAnsi="Times New Roman"/>
          <w:sz w:val="24"/>
          <w:szCs w:val="24"/>
        </w:rPr>
      </w:pPr>
      <w:r>
        <w:rPr>
          <w:rFonts w:eastAsia="Verdana" w:cs="Arial" w:ascii="Times New Roman" w:hAnsi="Times New Roman" w:cstheme="minorBidi"/>
          <w:sz w:val="24"/>
          <w:szCs w:val="24"/>
        </w:rPr>
        <w:t>Uno dei rischi più rilevanti nel settore sanitario è quello derivante dall’esposizione ai farmaci antiblastici. Il documento di Linee Guida per la sicurezza e la salute dei lavoratori esposti ai farmaci antiblastici in ambiente sanitario del 5 agosto 1999 – GU del 07/10/1999 prevede la centralizzazione delle attività e la costituzione delle UFA (unità farmaci antiblastici).</w:t>
      </w:r>
    </w:p>
    <w:p>
      <w:pPr>
        <w:pStyle w:val="Normal"/>
        <w:textAlignment w:val="baseline"/>
        <w:rPr>
          <w:rFonts w:ascii="Times New Roman" w:hAnsi="Times New Roman"/>
          <w:sz w:val="24"/>
          <w:szCs w:val="24"/>
        </w:rPr>
      </w:pPr>
      <w:r>
        <w:rPr>
          <w:rFonts w:eastAsia="Verdana" w:cs="Arial" w:ascii="Times New Roman" w:hAnsi="Times New Roman" w:cstheme="minorBidi"/>
          <w:sz w:val="24"/>
          <w:szCs w:val="24"/>
        </w:rPr>
        <w:t xml:space="preserve">Le N.B.P. della F.U. Italiana XII equiparano alla preparazione magistrale anche le operazioni di diluizione, ripartizione ecc. prescritte per il singolo paziente, quindi tutte le operazioni di allestimento di terapie antiblastiche sono da considerarsi preparazioni magistrali e quindi sotto la diretta responsabilità del Farmacista, che ne garantisce la qualità e la tracciabilità. </w:t>
      </w:r>
    </w:p>
    <w:p>
      <w:pPr>
        <w:pStyle w:val="Normal"/>
        <w:textAlignment w:val="baseline"/>
        <w:rPr>
          <w:rFonts w:ascii="Times New Roman" w:hAnsi="Times New Roman"/>
          <w:sz w:val="24"/>
          <w:szCs w:val="24"/>
        </w:rPr>
      </w:pPr>
      <w:r>
        <w:rPr>
          <w:rFonts w:eastAsia="Verdana" w:cs="Arial" w:ascii="Times New Roman" w:hAnsi="Times New Roman" w:cstheme="minorBidi"/>
          <w:sz w:val="24"/>
          <w:szCs w:val="24"/>
        </w:rPr>
        <w:t xml:space="preserve">Negli ambienti di lavoro in cui sono utilizzati i farmaci Chemioterapici Antiblastici (CTA), la contaminazione, che può coinvolgere differenti categorie di lavoratori, può verificarsi durante le varie fasi della loro manipolazione. </w:t>
      </w:r>
    </w:p>
    <w:p>
      <w:pPr>
        <w:pStyle w:val="Default"/>
        <w:spacing w:lineRule="auto" w:line="360"/>
        <w:jc w:val="both"/>
        <w:rPr>
          <w:rFonts w:ascii="Times New Roman" w:hAnsi="Times New Roman"/>
          <w:sz w:val="24"/>
          <w:szCs w:val="24"/>
        </w:rPr>
      </w:pPr>
      <w:r>
        <w:rPr>
          <w:rFonts w:cs="Arial" w:ascii="Times New Roman" w:hAnsi="Times New Roman" w:cstheme="minorBidi"/>
          <w:sz w:val="24"/>
          <w:szCs w:val="24"/>
        </w:rPr>
        <w:t>Il tema della sicurezza è stato più volte oggetto di attenzione da parte del Ministero della Salute, in particolare con la raccomandazione 14 dell'ottobre 2012. In tale raccomandazione è richiamata l'attenzione tra l'altro sulla necessità di intervenire sull'aspetto del confezionamento dei prodotti e su quello della gestione delle scorte, entrambi elementi su cui i preparati in sacca multidose offrono maggiori garanzie. In particolare inoltre la raccomandazione afferma testualmente la necessità di intervenire sui modelli organizzativi (4.9.4. Modelli organizzativi per aumentare la sostenibilità del sistema) "</w:t>
      </w:r>
      <w:r>
        <w:rPr>
          <w:rFonts w:cs="Arial" w:ascii="Times New Roman" w:hAnsi="Times New Roman" w:cstheme="minorBidi"/>
          <w:i/>
          <w:iCs/>
          <w:sz w:val="24"/>
          <w:szCs w:val="24"/>
        </w:rPr>
        <w:t>E' dimostrato, tuttavia, che investire in questo ambito è proficuo nel tempo, soprattutto se si seguono le regole della "lean production" e si riducono i rischi di esposizione degli operatori ad agenti citotossici</w:t>
      </w:r>
      <w:r>
        <w:rPr>
          <w:rFonts w:cs="Arial" w:ascii="Times New Roman" w:hAnsi="Times New Roman" w:cstheme="minorBidi"/>
          <w:sz w:val="24"/>
          <w:szCs w:val="24"/>
        </w:rPr>
        <w:t>", di conseguenza tra gli accorgimenti suggeriti "Scegliere la corretta confezione/forma farmaceutica, adottando, per ogni principio attivo, solo le confezioni con dose più alta e quella più bassa disponibili. In alcuni casi, può essere utile l'uso di sacche multi dose”.</w:t>
      </w:r>
    </w:p>
    <w:p>
      <w:pPr>
        <w:pStyle w:val="Default"/>
        <w:spacing w:lineRule="auto" w:line="360"/>
        <w:jc w:val="right"/>
        <w:rPr>
          <w:rFonts w:ascii="Times New Roman" w:hAnsi="Times New Roman" w:cs="Arial" w:cstheme="minorBidi"/>
          <w:sz w:val="24"/>
          <w:szCs w:val="24"/>
        </w:rPr>
      </w:pPr>
      <w:r>
        <w:rPr>
          <w:rFonts w:cs="Arial" w:cstheme="minorBidi" w:ascii="Times New Roman" w:hAnsi="Times New Roman"/>
          <w:sz w:val="24"/>
          <w:szCs w:val="24"/>
        </w:rPr>
      </w:r>
    </w:p>
    <w:p>
      <w:pPr>
        <w:pStyle w:val="Default"/>
        <w:spacing w:lineRule="auto" w:line="360"/>
        <w:jc w:val="both"/>
        <w:rPr>
          <w:rFonts w:ascii="Times New Roman" w:hAnsi="Times New Roman"/>
          <w:sz w:val="24"/>
          <w:szCs w:val="24"/>
        </w:rPr>
      </w:pPr>
      <w:r>
        <w:rPr>
          <w:rFonts w:cs="Arial" w:ascii="Times New Roman" w:hAnsi="Times New Roman" w:cstheme="minorBidi"/>
          <w:sz w:val="24"/>
          <w:szCs w:val="24"/>
        </w:rPr>
        <w:t>Particolare riguardo va riservato inoltre alla necessità di preparare galenici magistrali da consegnare e somministrare in strutture fisicamente lontane dalla sede dell'UFA (Ambulatorio di Oncologia del Presidio Ospedaliero di Soverato). La possibilità di preparare alcuni galenici il giorno prima della somministrazione, avendo la garanzia della stabilità è possibile solo attraverso l'utilizzo delle sacche multidose. L'alternativa sarebbe ricorrere ad ore di straordinario con notevole aggravio del costo del personale, oltre alle difficoltà di programmare adeguata turnazione.</w:t>
      </w:r>
    </w:p>
    <w:p>
      <w:pPr>
        <w:pStyle w:val="Default"/>
        <w:spacing w:lineRule="auto" w:line="360"/>
        <w:jc w:val="both"/>
        <w:rPr>
          <w:rFonts w:ascii="Times New Roman" w:hAnsi="Times New Roman"/>
          <w:sz w:val="24"/>
          <w:szCs w:val="24"/>
        </w:rPr>
      </w:pPr>
      <w:r>
        <w:rPr>
          <w:rFonts w:cs="Arial" w:ascii="Times New Roman" w:hAnsi="Times New Roman" w:cstheme="minorBidi"/>
          <w:sz w:val="24"/>
          <w:szCs w:val="24"/>
        </w:rPr>
        <w:t>Un’ulteriore variabile da considerare è la quantità di residuo di prodotto non più utilizzabile che incide sui costi di smaltimento dei rifiuti speciali, minimizzato con il ricorso alle sacche multidose.</w:t>
      </w:r>
    </w:p>
    <w:p>
      <w:pPr>
        <w:pStyle w:val="Titolo1"/>
        <w:jc w:val="left"/>
        <w:rPr/>
      </w:pPr>
      <w:bookmarkStart w:id="1" w:name="__RefHeading___Toc18863_272525276"/>
      <w:bookmarkEnd w:id="1"/>
      <w:r>
        <w:rPr>
          <w:rFonts w:ascii="Times New Roman" w:hAnsi="Times New Roman"/>
          <w:b/>
          <w:bCs/>
          <w:color w:val="000000"/>
          <w:sz w:val="28"/>
          <w:szCs w:val="28"/>
        </w:rPr>
        <w:t>1. Oggetto dell’appalto</w:t>
      </w:r>
    </w:p>
    <w:p>
      <w:pPr>
        <w:pStyle w:val="Normal"/>
        <w:spacing w:before="0" w:after="239"/>
        <w:ind w:left="-5" w:hanging="10"/>
        <w:rPr>
          <w:rFonts w:ascii="Times New Roman" w:hAnsi="Times New Roman"/>
          <w:sz w:val="24"/>
          <w:szCs w:val="24"/>
        </w:rPr>
      </w:pPr>
      <w:r>
        <w:rPr>
          <w:rFonts w:ascii="Times New Roman" w:hAnsi="Times New Roman"/>
          <w:sz w:val="24"/>
          <w:szCs w:val="24"/>
        </w:rPr>
        <w:t>Oggetto della presente procedura è l’affidamento della fornitura di sacche multidose pluriprelievo di farmaci chemioterapici antiblastici e contestuale r</w:t>
      </w:r>
      <w:bookmarkStart w:id="2" w:name="__DdeLink__10488_1380837265"/>
      <w:bookmarkEnd w:id="2"/>
      <w:r>
        <w:rPr>
          <w:rFonts w:ascii="Times New Roman" w:hAnsi="Times New Roman"/>
          <w:sz w:val="24"/>
          <w:szCs w:val="24"/>
        </w:rPr>
        <w:t>ealizzazione “chiavi in mano” di un centro U.F.A. presso il P.O. di Lamezia Terme e fornitura di servizi di completamento.</w:t>
      </w:r>
    </w:p>
    <w:p>
      <w:pPr>
        <w:pStyle w:val="Titolo1"/>
        <w:jc w:val="left"/>
        <w:rPr>
          <w:rFonts w:ascii="Times New Roman" w:hAnsi="Times New Roman"/>
          <w:b/>
          <w:b/>
          <w:bCs/>
          <w:color w:val="000000"/>
          <w:sz w:val="28"/>
          <w:szCs w:val="28"/>
        </w:rPr>
      </w:pPr>
      <w:bookmarkStart w:id="3" w:name="__RefHeading___Toc18865_272525276"/>
      <w:bookmarkEnd w:id="3"/>
      <w:r>
        <w:rPr>
          <w:rFonts w:ascii="Times New Roman" w:hAnsi="Times New Roman"/>
          <w:b/>
          <w:bCs/>
          <w:color w:val="000000"/>
          <w:sz w:val="28"/>
          <w:szCs w:val="28"/>
        </w:rPr>
        <w:t>2. Durata dell’appalto</w:t>
      </w:r>
    </w:p>
    <w:p>
      <w:pPr>
        <w:pStyle w:val="Normal"/>
        <w:spacing w:before="0" w:after="239"/>
        <w:ind w:left="-5" w:hanging="10"/>
        <w:jc w:val="left"/>
        <w:rPr>
          <w:rFonts w:ascii="Times New Roman" w:hAnsi="Times New Roman"/>
          <w:sz w:val="24"/>
          <w:szCs w:val="24"/>
        </w:rPr>
      </w:pPr>
      <w:r>
        <w:rPr>
          <w:rFonts w:ascii="Times New Roman" w:hAnsi="Times New Roman"/>
          <w:sz w:val="24"/>
          <w:szCs w:val="24"/>
        </w:rPr>
        <w:t>La fornitura oggetto del presente appalto avrà la durata di otto anni.</w:t>
      </w:r>
    </w:p>
    <w:p>
      <w:pPr>
        <w:pStyle w:val="Titolo1"/>
        <w:jc w:val="left"/>
        <w:rPr>
          <w:rFonts w:ascii="Times New Roman" w:hAnsi="Times New Roman" w:eastAsia="Calibri" w:cs="Calibri"/>
          <w:b/>
          <w:b/>
          <w:bCs/>
          <w:color w:val="000000"/>
          <w:sz w:val="28"/>
          <w:szCs w:val="28"/>
          <w:lang w:val="it-IT" w:eastAsia="it-IT" w:bidi="ar-SA"/>
        </w:rPr>
      </w:pPr>
      <w:bookmarkStart w:id="4" w:name="__RefHeading___Toc18867_272525276"/>
      <w:bookmarkEnd w:id="4"/>
      <w:r>
        <w:rPr>
          <w:rFonts w:eastAsia="Calibri" w:cs="Calibri" w:ascii="Times New Roman" w:hAnsi="Times New Roman"/>
          <w:b/>
          <w:bCs/>
          <w:color w:val="000000"/>
          <w:sz w:val="28"/>
          <w:szCs w:val="28"/>
          <w:lang w:val="it-IT" w:eastAsia="it-IT" w:bidi="ar-SA"/>
        </w:rPr>
        <w:t>3. Importo a base d’asta</w:t>
      </w:r>
    </w:p>
    <w:p>
      <w:pPr>
        <w:pStyle w:val="Normal"/>
        <w:spacing w:before="0" w:after="239"/>
        <w:ind w:left="-5" w:hanging="10"/>
        <w:jc w:val="both"/>
        <w:rPr/>
      </w:pPr>
      <w:r>
        <w:rPr>
          <w:rFonts w:ascii="Times New Roman" w:hAnsi="Times New Roman"/>
          <w:sz w:val="24"/>
          <w:szCs w:val="24"/>
        </w:rPr>
        <w:t xml:space="preserve">L’importo a base d’asta per la fornitura delle </w:t>
      </w:r>
      <w:r>
        <w:rPr>
          <w:rFonts w:eastAsia="Calibri" w:cs="Calibri" w:ascii="Times New Roman" w:hAnsi="Times New Roman"/>
          <w:sz w:val="24"/>
          <w:szCs w:val="24"/>
        </w:rPr>
        <w:t>sacche multidose pluriprelievo di farmaci chemioterapici antiblastici e contestuale realizzazione “chiavi in mano” di un centro U.F.A.</w:t>
      </w:r>
      <w:r>
        <w:rPr>
          <w:rFonts w:ascii="Times New Roman" w:hAnsi="Times New Roman"/>
          <w:sz w:val="24"/>
          <w:szCs w:val="24"/>
        </w:rPr>
        <w:t xml:space="preserve"> è pari ad euro 3.710.000,00 (tremilionisettecentodiecimila/00).</w:t>
      </w:r>
    </w:p>
    <w:p>
      <w:pPr>
        <w:pStyle w:val="Titolo1"/>
        <w:jc w:val="left"/>
        <w:rPr>
          <w:rFonts w:ascii="Times New Roman" w:hAnsi="Times New Roman" w:eastAsia="Calibri" w:cs="Calibri"/>
          <w:b/>
          <w:b/>
          <w:bCs/>
          <w:color w:val="000000"/>
          <w:sz w:val="28"/>
          <w:szCs w:val="28"/>
          <w:lang w:val="it-IT" w:eastAsia="it-IT" w:bidi="ar-SA"/>
        </w:rPr>
      </w:pPr>
      <w:bookmarkStart w:id="5" w:name="__RefHeading___Toc18876_272525276"/>
      <w:bookmarkEnd w:id="5"/>
      <w:r>
        <w:rPr>
          <w:rFonts w:eastAsia="Calibri" w:cs="Calibri" w:ascii="Times New Roman" w:hAnsi="Times New Roman"/>
          <w:b/>
          <w:bCs/>
          <w:color w:val="000000"/>
          <w:sz w:val="28"/>
          <w:szCs w:val="28"/>
          <w:lang w:val="it-IT" w:eastAsia="it-IT" w:bidi="ar-SA"/>
        </w:rPr>
        <w:t>4. Caratteristiche tecniche dei prodotti</w:t>
      </w:r>
    </w:p>
    <w:p>
      <w:pPr>
        <w:pStyle w:val="Default"/>
        <w:spacing w:lineRule="auto" w:line="360"/>
        <w:jc w:val="both"/>
        <w:rPr/>
      </w:pPr>
      <w:r>
        <w:rPr>
          <w:rFonts w:cs="Arial" w:ascii="Times New Roman" w:hAnsi="Times New Roman" w:cstheme="minorBidi"/>
          <w:sz w:val="24"/>
          <w:szCs w:val="24"/>
        </w:rPr>
        <w:t xml:space="preserve">La fornitura dovrà ricomprendere farmaci chemioterapici antiblastici in sacche multidose e multiprelievo con le seguenti caratteristiche qualitative: </w:t>
      </w:r>
    </w:p>
    <w:p>
      <w:pPr>
        <w:pStyle w:val="Default"/>
        <w:widowControl/>
        <w:bidi w:val="0"/>
        <w:spacing w:lineRule="auto" w:line="360" w:before="0" w:after="18"/>
        <w:ind w:left="454" w:right="0" w:hanging="0"/>
        <w:jc w:val="both"/>
        <w:rPr/>
      </w:pPr>
      <w:r>
        <w:rPr>
          <w:rFonts w:cs="Arial" w:ascii="Times New Roman" w:hAnsi="Times New Roman" w:cstheme="minorBidi"/>
          <w:sz w:val="24"/>
          <w:szCs w:val="24"/>
        </w:rPr>
        <w:t>1) La produzione deve essere autorizzata da AIFA su prescrizione medica in base all’art. 5, comma 1, del D. Lgs 219/06 e distribuite in Italia.</w:t>
      </w:r>
    </w:p>
    <w:p>
      <w:pPr>
        <w:pStyle w:val="Default"/>
        <w:widowControl/>
        <w:bidi w:val="0"/>
        <w:spacing w:lineRule="auto" w:line="360" w:before="0" w:after="18"/>
        <w:ind w:left="454" w:right="0" w:hanging="0"/>
        <w:jc w:val="both"/>
        <w:rPr/>
      </w:pPr>
      <w:r>
        <w:rPr>
          <w:rFonts w:cs="Arial" w:ascii="Times New Roman" w:hAnsi="Times New Roman" w:cstheme="minorBidi"/>
          <w:sz w:val="24"/>
          <w:szCs w:val="24"/>
        </w:rPr>
        <w:t xml:space="preserve">2) Le sacche devono contenere soluzioni chemioterapiche ad uso endovenoso, fabbricate secondo prescrizione ed in accordo con le GMPs ed in opportune condizioni di asepsi, attraverso la tecnologia degli isolatori.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3) Le sacche devono essere prodotte da personale validato utilizzando procedure interne facenti parte del sistema di qualità dello stabilimento (certificato secondo ISO9001), a partire da materie prime sterili ed apirogene.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4) La composizione quali-quantitativa delle materie prime e la loro rispondenza alle relative specifiche deve essere assicurata dal fornitore, attraverso certificati di analisi verificati e devono essere inviati, opportunamente, insieme alle stesse.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5) Il prodotto finito deve essere sottoposto a controlli analitici secondo Farmacopea. </w:t>
      </w:r>
    </w:p>
    <w:p>
      <w:pPr>
        <w:pStyle w:val="Default"/>
        <w:widowControl/>
        <w:bidi w:val="0"/>
        <w:spacing w:lineRule="auto" w:line="360" w:before="0" w:after="18"/>
        <w:ind w:left="454" w:right="0" w:hanging="0"/>
        <w:jc w:val="both"/>
        <w:rPr/>
      </w:pPr>
      <w:r>
        <w:rPr>
          <w:rFonts w:cs="Arial" w:ascii="Times New Roman" w:hAnsi="Times New Roman" w:cstheme="minorBidi"/>
          <w:sz w:val="24"/>
          <w:szCs w:val="24"/>
        </w:rPr>
        <w:t xml:space="preserve">6) Tutta la documentazione di ciascuna fase di lavorazione: i relativi controlli qualitativi e gli esiti dei test analitici deve essere controllata da personale altamente qualificato come da D.Lgs. n° 219 del 24 aprile 2006, art. 52 e successivi.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7) Devono essere eseguiti test di sterilità della durata di 14 giorni.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8) Devono essere eseguiti test di determinazione del contenuto di particelle non visibili.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9) Devono essere eseguiti test di determinazione del contenuto di endotossine batteriche (LAL test).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10) Le sacche multidose-multiprelievo devono essere tali da non prevedere operazioni aggiuntive di ricostituzione del farmaco o filtrazione della soluzione.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 xml:space="preserve">11) Le sacche devono avere un periodo di stabilità e, quindi, un utilizzo continuativo, di norma, non inferiore a 25 giorni dalla data di consegna e fino ad oltre 60 giorni a seconda della molecola. </w:t>
      </w:r>
    </w:p>
    <w:p>
      <w:pPr>
        <w:pStyle w:val="Default"/>
        <w:widowControl/>
        <w:bidi w:val="0"/>
        <w:spacing w:lineRule="auto" w:line="360" w:before="0" w:after="18"/>
        <w:ind w:left="454" w:right="0" w:hanging="0"/>
        <w:jc w:val="both"/>
        <w:rPr>
          <w:rFonts w:ascii="Times New Roman" w:hAnsi="Times New Roman"/>
          <w:sz w:val="24"/>
          <w:szCs w:val="24"/>
        </w:rPr>
      </w:pPr>
      <w:r>
        <w:rPr>
          <w:rFonts w:cs="Arial" w:ascii="Times New Roman" w:hAnsi="Times New Roman" w:cstheme="minorBidi"/>
          <w:sz w:val="24"/>
          <w:szCs w:val="24"/>
        </w:rPr>
        <w:t>12) Le sacche devono avere una stabilità di eventuali residui per usi successivi alla prima apertura (devono essere indicate le relative modalità di conservazione degli stessi residui), come riportato in tabella;</w:t>
      </w:r>
    </w:p>
    <w:p>
      <w:pPr>
        <w:pStyle w:val="Default"/>
        <w:widowControl/>
        <w:bidi w:val="0"/>
        <w:spacing w:lineRule="auto" w:line="360"/>
        <w:ind w:left="454" w:right="0" w:hanging="0"/>
        <w:jc w:val="both"/>
        <w:rPr>
          <w:rFonts w:ascii="Times New Roman" w:hAnsi="Times New Roman"/>
          <w:sz w:val="24"/>
          <w:szCs w:val="24"/>
        </w:rPr>
      </w:pPr>
      <w:r>
        <w:rPr>
          <w:rFonts w:cs="Arial" w:ascii="Times New Roman" w:hAnsi="Times New Roman" w:cstheme="minorBidi"/>
          <w:sz w:val="24"/>
          <w:szCs w:val="24"/>
        </w:rPr>
        <w:t xml:space="preserve">13) Quantitativi presuntivi per otto anni: </w:t>
      </w:r>
    </w:p>
    <w:tbl>
      <w:tblPr>
        <w:tblpPr w:bottomFromText="0" w:horzAnchor="margin" w:leftFromText="141" w:rightFromText="141" w:tblpX="0" w:tblpXSpec="center" w:tblpY="150" w:topFromText="0" w:vertAnchor="text"/>
        <w:tblW w:w="9694" w:type="dxa"/>
        <w:jc w:val="left"/>
        <w:tblInd w:w="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0" w:type="dxa"/>
          <w:left w:w="-10" w:type="dxa"/>
          <w:bottom w:w="0" w:type="dxa"/>
          <w:right w:w="10" w:type="dxa"/>
        </w:tblCellMar>
        <w:tblLook w:firstRow="1" w:noVBand="1" w:lastRow="0" w:firstColumn="1" w:lastColumn="0" w:noHBand="0" w:val="04a0"/>
      </w:tblPr>
      <w:tblGrid>
        <w:gridCol w:w="4593"/>
        <w:gridCol w:w="1135"/>
        <w:gridCol w:w="1019"/>
        <w:gridCol w:w="2091"/>
        <w:gridCol w:w="856"/>
      </w:tblGrid>
      <w:tr>
        <w:trPr>
          <w:trHeight w:val="563"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jc w:val="center"/>
              <w:textAlignment w:val="bottom"/>
              <w:rPr>
                <w:sz w:val="20"/>
                <w:szCs w:val="20"/>
              </w:rPr>
            </w:pPr>
            <w:r>
              <w:rPr>
                <w:rFonts w:eastAsia="Times New Roman" w:cs="Arial" w:ascii="Times New Roman" w:hAnsi="Times New Roman" w:cstheme="minorBidi"/>
                <w:b/>
                <w:bCs/>
                <w:sz w:val="20"/>
                <w:szCs w:val="20"/>
              </w:rPr>
              <w:t>PRINCIPIO ATTIVO</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jc w:val="center"/>
              <w:textAlignment w:val="bottom"/>
              <w:rPr>
                <w:sz w:val="20"/>
                <w:szCs w:val="20"/>
              </w:rPr>
            </w:pPr>
            <w:r>
              <w:rPr>
                <w:rFonts w:eastAsia="Times New Roman" w:cs="Arial" w:ascii="Times New Roman" w:hAnsi="Times New Roman" w:cstheme="minorBidi"/>
                <w:b/>
                <w:bCs/>
                <w:color w:val="222222"/>
                <w:sz w:val="20"/>
                <w:szCs w:val="20"/>
              </w:rPr>
              <w:t>ATC</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jc w:val="center"/>
              <w:textAlignment w:val="bottom"/>
              <w:rPr>
                <w:sz w:val="20"/>
                <w:szCs w:val="20"/>
              </w:rPr>
            </w:pPr>
            <w:r>
              <w:rPr>
                <w:rFonts w:eastAsia="Times New Roman" w:cs="Arial" w:ascii="Times New Roman" w:hAnsi="Times New Roman" w:cstheme="minorBidi"/>
                <w:b/>
                <w:bCs/>
                <w:sz w:val="20"/>
                <w:szCs w:val="20"/>
              </w:rPr>
              <w:t>Quantita’</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jc w:val="center"/>
              <w:textAlignment w:val="bottom"/>
              <w:rPr>
                <w:sz w:val="20"/>
                <w:szCs w:val="20"/>
              </w:rPr>
            </w:pPr>
            <w:r>
              <w:rPr>
                <w:rFonts w:eastAsia="Times New Roman" w:cs="Arial" w:ascii="Times New Roman" w:hAnsi="Times New Roman" w:cstheme="minorBidi"/>
                <w:b/>
                <w:bCs/>
                <w:sz w:val="20"/>
                <w:szCs w:val="20"/>
              </w:rPr>
              <w:t>Stabilità chimico-fisica diluita in vialflo</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jc w:val="center"/>
              <w:textAlignment w:val="bottom"/>
              <w:rPr>
                <w:sz w:val="20"/>
                <w:szCs w:val="20"/>
              </w:rPr>
            </w:pPr>
            <w:r>
              <w:rPr>
                <w:rFonts w:eastAsia="Times New Roman" w:cs="Arial" w:ascii="Times New Roman" w:hAnsi="Times New Roman" w:cstheme="minorBidi"/>
                <w:b/>
                <w:bCs/>
                <w:sz w:val="20"/>
                <w:szCs w:val="20"/>
              </w:rPr>
              <w:t>u.m.</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sz w:val="20"/>
                <w:szCs w:val="20"/>
              </w:rPr>
            </w:pPr>
            <w:r>
              <w:rPr>
                <w:rFonts w:eastAsia="Times New Roman" w:cs="Arial" w:ascii="Times New Roman" w:hAnsi="Times New Roman" w:cstheme="minorBidi"/>
                <w:b/>
                <w:bCs/>
                <w:sz w:val="20"/>
                <w:szCs w:val="20"/>
              </w:rPr>
              <w:t>INFLIXIMAB 1000MG in acqua PPI 100 ml 10 MG/ML</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L04AB02</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120</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72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sz w:val="20"/>
                <w:szCs w:val="20"/>
              </w:rPr>
            </w:pPr>
            <w:r>
              <w:rPr>
                <w:rFonts w:eastAsia="Times New Roman" w:cs="Arial" w:ascii="Times New Roman" w:hAnsi="Times New Roman" w:cstheme="minorBidi"/>
                <w:b/>
                <w:bCs/>
                <w:sz w:val="20"/>
                <w:szCs w:val="20"/>
              </w:rPr>
              <w:t>CISPLATINO 400 MG in Nacl 0,9% 400 ml</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L01XA01</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184</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sz w:val="20"/>
                <w:szCs w:val="20"/>
              </w:rPr>
            </w:pPr>
            <w:r>
              <w:rPr>
                <w:rFonts w:eastAsia="Times New Roman" w:cs="Arial" w:ascii="Times New Roman" w:hAnsi="Times New Roman" w:cstheme="minorBidi"/>
                <w:sz w:val="20"/>
                <w:szCs w:val="20"/>
              </w:rPr>
              <w:t>48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sz w:val="20"/>
                <w:szCs w:val="20"/>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sz w:val="20"/>
                <w:szCs w:val="20"/>
              </w:rPr>
            </w:pPr>
            <w:r>
              <w:rPr>
                <w:rFonts w:eastAsia="Times New Roman" w:cs="Arial" w:ascii="Times New Roman" w:hAnsi="Times New Roman" w:cstheme="minorBidi"/>
                <w:b/>
                <w:bCs/>
                <w:sz w:val="20"/>
                <w:szCs w:val="20"/>
                <w:lang w:val="en-US"/>
              </w:rPr>
              <w:t>FLUOROURACILE 25000MG in Nacl 0,9% 500 ml</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L01BC02</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760</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96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p>
            <w:pPr>
              <w:pStyle w:val="Normal"/>
              <w:widowControl w:val="false"/>
              <w:spacing w:lineRule="auto" w:line="240"/>
              <w:ind w:left="10" w:hanging="0"/>
              <w:textAlignment w:val="bottom"/>
              <w:rPr>
                <w:rFonts w:ascii="Times New Roman" w:hAnsi="Times New Roman" w:eastAsia="Times New Roman" w:cs="Arial" w:cstheme="minorBidi"/>
                <w:sz w:val="20"/>
                <w:szCs w:val="20"/>
              </w:rPr>
            </w:pPr>
            <w:r>
              <w:rPr>
                <w:rFonts w:eastAsia="Times New Roman" w:cs="Arial" w:cstheme="minorBidi" w:ascii="Times New Roman" w:hAnsi="Times New Roman"/>
                <w:sz w:val="20"/>
                <w:szCs w:val="20"/>
              </w:rPr>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b/>
                <w:bCs/>
                <w:sz w:val="20"/>
                <w:szCs w:val="20"/>
              </w:rPr>
              <w:t>GEMCITABINA 40MG/ML 20.000MG 500ML Nacl 0,9% o Glu 5%</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L01BC05</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232</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28gg a 2-8°C e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b/>
                <w:bCs/>
                <w:sz w:val="20"/>
                <w:szCs w:val="20"/>
              </w:rPr>
              <w:t>CARBOPLATINO 2700MG In Glu 5% o Nacl 0,9% 270ML</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L01XA02</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192</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96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b/>
                <w:bCs/>
                <w:sz w:val="20"/>
                <w:szCs w:val="20"/>
                <w:lang w:val="sv-SE"/>
              </w:rPr>
              <w:t>OXALIPLATIN 5 MG/ML 200ML in Glu 5%</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L01XA03</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688</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96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sz w:val="20"/>
                <w:szCs w:val="20"/>
              </w:rPr>
            </w:pPr>
            <w:r>
              <w:rPr>
                <w:rFonts w:eastAsia="Times New Roman" w:cs="Arial" w:ascii="Times New Roman" w:hAnsi="Times New Roman" w:cstheme="minorBidi"/>
                <w:b/>
                <w:bCs/>
                <w:sz w:val="20"/>
                <w:szCs w:val="20"/>
                <w:lang w:val="nl-NL"/>
              </w:rPr>
              <w:t>IRINOTECAN 20MG/ML 2000MG in 100ML Nacl 0,9%</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L01CE02</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120</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96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sz w:val="20"/>
                <w:szCs w:val="20"/>
              </w:rPr>
            </w:pPr>
            <w:r>
              <w:rPr>
                <w:rFonts w:eastAsia="Times New Roman" w:cs="Arial" w:ascii="Times New Roman" w:hAnsi="Times New Roman" w:cstheme="minorBidi"/>
                <w:b/>
                <w:bCs/>
                <w:sz w:val="20"/>
                <w:szCs w:val="20"/>
              </w:rPr>
              <w:t>CICLOFOSFAMIDE 5000 MG in Nacl 0.9% 250ML</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L01AA01</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96</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6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sz w:val="20"/>
                <w:szCs w:val="20"/>
              </w:rPr>
            </w:pPr>
            <w:r>
              <w:rPr>
                <w:rFonts w:eastAsia="Times New Roman" w:cs="Arial" w:ascii="Times New Roman" w:hAnsi="Times New Roman" w:cstheme="minorBidi"/>
                <w:b/>
                <w:bCs/>
                <w:sz w:val="20"/>
                <w:szCs w:val="20"/>
              </w:rPr>
              <w:t>TRASTUZUMAB 2100 IN 100 ML Nacl 0,9%</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L01FD01</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152</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96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b/>
                <w:bCs/>
                <w:sz w:val="20"/>
                <w:szCs w:val="20"/>
                <w:lang w:val="en-US"/>
              </w:rPr>
              <w:t>PACLITAXEL 1500 MG IN 250 ML NaCl 0,9% o Glu 5%</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L01CD01</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272</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72 h a 2-8°C o 72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296"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b/>
                <w:bCs/>
                <w:sz w:val="20"/>
                <w:szCs w:val="20"/>
                <w:lang w:val="de-DE"/>
              </w:rPr>
              <w:t>BEVACIZUMAB 2500 MG IN 100 ML Nacl 0,9%</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L01FG01</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240</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72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r>
        <w:trPr>
          <w:trHeight w:val="307" w:hRule="atLeast"/>
        </w:trPr>
        <w:tc>
          <w:tcPr>
            <w:tcW w:w="4593"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b/>
                <w:bCs/>
                <w:sz w:val="20"/>
                <w:szCs w:val="20"/>
              </w:rPr>
              <w:t>SOLUZ.CALCIO LEVOFOLINATO PENTAIDRATO 5000MG/500ML in Nacl 0,9% o Glu 5%</w:t>
            </w:r>
          </w:p>
        </w:tc>
        <w:tc>
          <w:tcPr>
            <w:tcW w:w="1135"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color w:val="222222"/>
                <w:sz w:val="20"/>
                <w:szCs w:val="20"/>
              </w:rPr>
              <w:t>V03AF04</w:t>
            </w:r>
          </w:p>
        </w:tc>
        <w:tc>
          <w:tcPr>
            <w:tcW w:w="1019"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left w:w="-10" w:type="dxa"/>
            </w:tcMar>
            <w:vAlign w:val="bottom"/>
          </w:tcPr>
          <w:p>
            <w:pPr>
              <w:pStyle w:val="Normal"/>
              <w:widowControl w:val="false"/>
              <w:spacing w:lineRule="auto" w:line="240"/>
              <w:textAlignment w:val="bottom"/>
              <w:rPr/>
            </w:pPr>
            <w:r>
              <w:rPr>
                <w:rFonts w:eastAsia="Times New Roman" w:cs="Arial" w:ascii="Times New Roman" w:hAnsi="Times New Roman" w:cstheme="minorBidi"/>
                <w:sz w:val="20"/>
                <w:szCs w:val="20"/>
              </w:rPr>
              <w:t>296</w:t>
            </w:r>
          </w:p>
        </w:tc>
        <w:tc>
          <w:tcPr>
            <w:tcW w:w="2091"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lang w:val="pt-PT"/>
              </w:rPr>
              <w:t>96 h a 2-8°C seguiti da 24 h a T amb</w:t>
            </w:r>
          </w:p>
        </w:tc>
        <w:tc>
          <w:tcPr>
            <w:tcW w:w="856" w:type="dxa"/>
            <w:tcBorders>
              <w:top w:val="single" w:sz="8" w:space="0" w:color="000001"/>
              <w:left w:val="single" w:sz="8" w:space="0" w:color="000001"/>
              <w:bottom w:val="single" w:sz="8" w:space="0" w:color="000001"/>
              <w:right w:val="single" w:sz="8" w:space="0" w:color="000001"/>
              <w:insideH w:val="single" w:sz="8" w:space="0" w:color="000001"/>
              <w:insideV w:val="single" w:sz="8" w:space="0" w:color="000001"/>
            </w:tcBorders>
            <w:shd w:color="auto" w:fill="FFFFFF" w:val="clear"/>
            <w:tcMar>
              <w:top w:w="0" w:type="dxa"/>
              <w:left w:w="-10" w:type="dxa"/>
              <w:right w:w="0" w:type="dxa"/>
            </w:tcMar>
          </w:tcPr>
          <w:p>
            <w:pPr>
              <w:pStyle w:val="Normal"/>
              <w:widowControl w:val="false"/>
              <w:spacing w:lineRule="auto" w:line="240"/>
              <w:textAlignment w:val="bottom"/>
              <w:rPr>
                <w:rFonts w:ascii="Times New Roman" w:hAnsi="Times New Roman"/>
                <w:sz w:val="24"/>
                <w:szCs w:val="24"/>
              </w:rPr>
            </w:pPr>
            <w:r>
              <w:rPr>
                <w:rFonts w:eastAsia="Times New Roman" w:cs="Arial" w:ascii="Times New Roman" w:hAnsi="Times New Roman" w:cstheme="minorBidi"/>
                <w:sz w:val="20"/>
                <w:szCs w:val="20"/>
              </w:rPr>
              <w:t>sacca</w:t>
            </w:r>
          </w:p>
        </w:tc>
      </w:tr>
    </w:tbl>
    <w:p>
      <w:pPr>
        <w:pStyle w:val="Normal"/>
        <w:spacing w:before="0" w:after="0"/>
        <w:ind w:left="-5" w:hanging="10"/>
        <w:jc w:val="left"/>
        <w:rPr>
          <w:rFonts w:ascii="Times New Roman" w:hAnsi="Times New Roman"/>
          <w:color w:val="000000"/>
          <w:sz w:val="24"/>
          <w:szCs w:val="24"/>
        </w:rPr>
      </w:pPr>
      <w:r>
        <w:rPr>
          <w:rFonts w:ascii="Times New Roman" w:hAnsi="Times New Roman"/>
          <w:color w:val="000000"/>
          <w:sz w:val="24"/>
          <w:szCs w:val="24"/>
        </w:rPr>
      </w:r>
    </w:p>
    <w:p>
      <w:pPr>
        <w:pStyle w:val="Normal"/>
        <w:spacing w:before="0" w:after="0"/>
        <w:ind w:left="-5" w:hanging="10"/>
        <w:jc w:val="left"/>
        <w:rPr/>
      </w:pPr>
      <w:r>
        <w:rPr>
          <w:rFonts w:ascii="Times New Roman" w:hAnsi="Times New Roman"/>
          <w:color w:val="000000"/>
          <w:sz w:val="24"/>
          <w:szCs w:val="24"/>
        </w:rPr>
        <w:t>Confezionamento - Imballo - Etichettatura:</w:t>
      </w:r>
    </w:p>
    <w:p>
      <w:pPr>
        <w:pStyle w:val="Normal"/>
        <w:spacing w:lineRule="auto" w:line="360" w:before="0" w:after="0"/>
        <w:ind w:left="-5" w:hanging="10"/>
        <w:rPr/>
      </w:pPr>
      <w:r>
        <w:rPr>
          <w:rFonts w:ascii="Times New Roman" w:hAnsi="Times New Roman"/>
          <w:color w:val="000000"/>
          <w:sz w:val="24"/>
          <w:szCs w:val="24"/>
        </w:rPr>
        <w:t xml:space="preserve"> </w:t>
      </w:r>
      <w:r>
        <w:rPr>
          <w:rFonts w:ascii="Times New Roman" w:hAnsi="Times New Roman"/>
          <w:color w:val="000000"/>
          <w:sz w:val="24"/>
          <w:szCs w:val="24"/>
        </w:rPr>
        <w:t xml:space="preserve">I prodotti devono essere confezionati in modo tale da garantire la corretta conservazione anche durante le fasi di trasporto, in conformità a quanto previsto dalle normative vigenti in materia. In particolare l’imballo deve garantire l'assoluta protezione dagli effetti dovuti a fotosensibilità e ad eventuali urti, per tale scopo deve essere costituito da: </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un involucro primario esterno impermeabile all'aria e all'ossigeno e sigillato sotto vuoto per consentire anche la verifica immediata dell’integrità della sacca ivi contenuta;</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un involucro secondario esterno (tipo air-box) a protezione dell’integrità dell’involucro primario e del suo contenuto</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una scatola in cartone solido, in cui viene inserito l’involucro secondario.</w:t>
      </w:r>
    </w:p>
    <w:p>
      <w:pPr>
        <w:pStyle w:val="Normal"/>
        <w:spacing w:lineRule="auto" w:line="360" w:before="0" w:after="0"/>
        <w:ind w:left="-15" w:hanging="0"/>
        <w:rPr/>
      </w:pPr>
      <w:r>
        <w:rPr>
          <w:rFonts w:ascii="Times New Roman" w:hAnsi="Times New Roman"/>
          <w:color w:val="000000"/>
          <w:sz w:val="24"/>
          <w:szCs w:val="24"/>
        </w:rPr>
        <w:t xml:space="preserve">Per i prodotti da conservare a determinate temperature controllate, il trasporto deve avvenire mediante sistemi di imballaggio e di consegna dotati delle necessarie condizioni di coibentazione e di refrigerazione al fine di garantire il rispetto della catena del freddo. </w:t>
      </w:r>
    </w:p>
    <w:p>
      <w:pPr>
        <w:pStyle w:val="Normal"/>
        <w:spacing w:lineRule="auto" w:line="360" w:before="0" w:after="0"/>
        <w:ind w:left="-15" w:hanging="0"/>
        <w:rPr/>
      </w:pPr>
      <w:r>
        <w:rPr>
          <w:rFonts w:ascii="Times New Roman" w:hAnsi="Times New Roman"/>
          <w:color w:val="000000"/>
          <w:sz w:val="24"/>
          <w:szCs w:val="24"/>
        </w:rPr>
        <w:t>Per i prodotti di origine biologica dovranno essere adottate le opportune precauzioni in termini di imballaggio e consegna al fine di garantire l’integrità e la qualità del medicinale. Ogni imballo dovrà contenere, in fornitura gratuita, un dispositivo Clave© Connector IV Bag Access Device</w:t>
      </w:r>
      <w:bookmarkStart w:id="6" w:name="_GoBack2"/>
      <w:bookmarkEnd w:id="6"/>
      <w:r>
        <w:rPr>
          <w:rFonts w:ascii="Times New Roman" w:hAnsi="Times New Roman"/>
          <w:color w:val="000000"/>
          <w:sz w:val="24"/>
          <w:szCs w:val="24"/>
        </w:rPr>
        <w:t xml:space="preserve"> o dispositivo equivalente, uno per ogni sacca fornita. </w:t>
      </w:r>
    </w:p>
    <w:p>
      <w:pPr>
        <w:pStyle w:val="Normal"/>
        <w:spacing w:lineRule="auto" w:line="360" w:before="0" w:after="0"/>
        <w:ind w:left="-15" w:hanging="0"/>
        <w:rPr/>
      </w:pPr>
      <w:r>
        <w:rPr>
          <w:rFonts w:ascii="Times New Roman" w:hAnsi="Times New Roman"/>
          <w:color w:val="000000"/>
          <w:sz w:val="24"/>
          <w:szCs w:val="24"/>
        </w:rPr>
        <w:t xml:space="preserve">Sul cartone di ciascun imballo deve essere riportato: </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nome del produttore; </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denominazione o codice prodotto; </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n° unità per imballo; </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n° lotto di produzione; </w:t>
      </w:r>
    </w:p>
    <w:p>
      <w:pPr>
        <w:pStyle w:val="Normal"/>
        <w:widowControl/>
        <w:suppressAutoHyphens w:val="true"/>
        <w:bidi w:val="0"/>
        <w:spacing w:lineRule="auto" w:line="360" w:before="0" w:after="0"/>
        <w:ind w:left="680"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data di scadenza.</w:t>
      </w:r>
    </w:p>
    <w:p>
      <w:pPr>
        <w:pStyle w:val="Normal"/>
        <w:spacing w:lineRule="auto" w:line="360" w:before="0" w:after="0"/>
        <w:ind w:left="-15" w:hanging="0"/>
        <w:rPr/>
      </w:pPr>
      <w:r>
        <w:rPr>
          <w:rFonts w:ascii="Times New Roman" w:hAnsi="Times New Roman"/>
          <w:color w:val="000000"/>
          <w:sz w:val="24"/>
          <w:szCs w:val="24"/>
        </w:rPr>
        <w:t xml:space="preserve">Le sacche devono riportare in etichetta: </w:t>
      </w:r>
    </w:p>
    <w:p>
      <w:pPr>
        <w:pStyle w:val="Normal"/>
        <w:widowControl/>
        <w:suppressAutoHyphens w:val="true"/>
        <w:bidi w:val="0"/>
        <w:spacing w:lineRule="auto" w:line="360" w:before="0" w:after="0"/>
        <w:ind w:left="737"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nome e sede del produttore; </w:t>
      </w:r>
    </w:p>
    <w:p>
      <w:pPr>
        <w:pStyle w:val="Normal"/>
        <w:widowControl/>
        <w:suppressAutoHyphens w:val="true"/>
        <w:bidi w:val="0"/>
        <w:spacing w:lineRule="auto" w:line="360" w:before="0" w:after="0"/>
        <w:ind w:left="737"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denominazione e codice prodotto; </w:t>
      </w:r>
    </w:p>
    <w:p>
      <w:pPr>
        <w:pStyle w:val="Normal"/>
        <w:widowControl/>
        <w:suppressAutoHyphens w:val="true"/>
        <w:bidi w:val="0"/>
        <w:spacing w:lineRule="auto" w:line="360" w:before="0" w:after="0"/>
        <w:ind w:left="737"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composizione quali-quantitativa del contenuto; </w:t>
      </w:r>
    </w:p>
    <w:p>
      <w:pPr>
        <w:pStyle w:val="Normal"/>
        <w:widowControl/>
        <w:suppressAutoHyphens w:val="true"/>
        <w:bidi w:val="0"/>
        <w:spacing w:lineRule="auto" w:line="360" w:before="0" w:after="0"/>
        <w:ind w:left="737"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n° lotto di produzione; </w:t>
      </w:r>
    </w:p>
    <w:p>
      <w:pPr>
        <w:pStyle w:val="Normal"/>
        <w:widowControl/>
        <w:suppressAutoHyphens w:val="true"/>
        <w:bidi w:val="0"/>
        <w:spacing w:lineRule="auto" w:line="360" w:before="0" w:after="0"/>
        <w:ind w:left="737"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data di scadenza; </w:t>
      </w:r>
    </w:p>
    <w:p>
      <w:pPr>
        <w:pStyle w:val="Normal"/>
        <w:widowControl/>
        <w:suppressAutoHyphens w:val="true"/>
        <w:bidi w:val="0"/>
        <w:spacing w:lineRule="auto" w:line="360" w:before="0" w:after="0"/>
        <w:ind w:left="737" w:right="0" w:hanging="0"/>
        <w:jc w:val="both"/>
        <w:rPr/>
      </w:pPr>
      <w:r>
        <w:rPr>
          <w:rFonts w:ascii="Times New Roman" w:hAnsi="Times New Roman"/>
          <w:color w:val="000000"/>
          <w:sz w:val="24"/>
          <w:szCs w:val="24"/>
        </w:rPr>
        <w:t xml:space="preserve">• </w:t>
      </w:r>
      <w:r>
        <w:rPr>
          <w:rFonts w:ascii="Times New Roman" w:hAnsi="Times New Roman"/>
          <w:color w:val="000000"/>
          <w:sz w:val="24"/>
          <w:szCs w:val="24"/>
        </w:rPr>
        <w:t xml:space="preserve">indicazioni sulle condizioni e sulle precauzioni da attuare per la buona conservazione del prodotto e tutte le avvertenze sul corretto uso. </w:t>
      </w:r>
    </w:p>
    <w:p>
      <w:pPr>
        <w:pStyle w:val="Normal"/>
        <w:spacing w:lineRule="auto" w:line="360" w:before="0" w:after="0"/>
        <w:ind w:left="-15" w:hanging="0"/>
        <w:rPr/>
      </w:pPr>
      <w:r>
        <w:rPr>
          <w:rFonts w:ascii="Times New Roman" w:hAnsi="Times New Roman"/>
          <w:color w:val="000000"/>
          <w:sz w:val="24"/>
          <w:szCs w:val="24"/>
        </w:rPr>
        <w:t>Le grafiche in etichettatura e in confezionamento d’imballo devono rispondere a requisiti di chiarezza, piena leggibilità ed univocità interpretativa e devono essere tali da minimizzare ogni possibile rischio di confondimento delle confezioni e/o delle etichettature.</w:t>
      </w:r>
    </w:p>
    <w:p>
      <w:pPr>
        <w:pStyle w:val="Normal"/>
        <w:spacing w:lineRule="auto" w:line="360" w:before="0" w:after="0"/>
        <w:ind w:left="-5" w:hanging="10"/>
        <w:jc w:val="both"/>
        <w:rPr>
          <w:rFonts w:ascii="Times New Roman" w:hAnsi="Times New Roman"/>
          <w:sz w:val="24"/>
          <w:szCs w:val="24"/>
        </w:rPr>
      </w:pPr>
      <w:r>
        <w:rPr>
          <w:rFonts w:eastAsia="Arial" w:cs="Arial" w:ascii="Times New Roman" w:hAnsi="Times New Roman"/>
          <w:color w:val="000000"/>
          <w:sz w:val="24"/>
          <w:szCs w:val="24"/>
          <w:lang w:val="it-IT" w:eastAsia="it-IT" w:bidi="ar-SA"/>
        </w:rPr>
        <w:t>Dovrà inoltre essere fornita la seguente documentazione, nel rispetto della normativa vigente:</w:t>
      </w:r>
    </w:p>
    <w:p>
      <w:pPr>
        <w:pStyle w:val="ListParagraph"/>
        <w:widowControl/>
        <w:numPr>
          <w:ilvl w:val="0"/>
          <w:numId w:val="4"/>
        </w:numPr>
        <w:suppressAutoHyphens w:val="false"/>
        <w:bidi w:val="0"/>
        <w:spacing w:lineRule="auto" w:line="360" w:before="0" w:after="0"/>
        <w:contextualSpacing/>
        <w:jc w:val="both"/>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la compatibilità con contenitori e dispositivi da utilizzarsi per il prelievo e la diluizione;</w:t>
      </w:r>
    </w:p>
    <w:p>
      <w:pPr>
        <w:pStyle w:val="ListParagraph"/>
        <w:widowControl/>
        <w:numPr>
          <w:ilvl w:val="0"/>
          <w:numId w:val="4"/>
        </w:numPr>
        <w:suppressAutoHyphens w:val="false"/>
        <w:bidi w:val="0"/>
        <w:spacing w:lineRule="auto" w:line="360" w:before="0" w:after="0"/>
        <w:contextualSpacing/>
        <w:jc w:val="both"/>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scheda tecnica completa di CND e RDM (ove previsto) relativa ai contenitori ed ai dispositivi forniti necessari all'utilizzo;</w:t>
      </w:r>
    </w:p>
    <w:p>
      <w:pPr>
        <w:pStyle w:val="ListParagraph"/>
        <w:widowControl/>
        <w:numPr>
          <w:ilvl w:val="0"/>
          <w:numId w:val="4"/>
        </w:numPr>
        <w:suppressAutoHyphens w:val="false"/>
        <w:bidi w:val="0"/>
        <w:spacing w:lineRule="auto" w:line="360" w:before="0" w:after="0"/>
        <w:contextualSpacing/>
        <w:jc w:val="both"/>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autorizzazione alla produzione di preparazioni citotossiche rilasciata dal Ministero della Salute Italiano allo stabilimento di produzione;</w:t>
      </w:r>
    </w:p>
    <w:p>
      <w:pPr>
        <w:pStyle w:val="ListParagraph"/>
        <w:widowControl/>
        <w:numPr>
          <w:ilvl w:val="0"/>
          <w:numId w:val="4"/>
        </w:numPr>
        <w:suppressAutoHyphens w:val="false"/>
        <w:bidi w:val="0"/>
        <w:spacing w:lineRule="auto" w:line="360" w:before="0" w:after="0"/>
        <w:contextualSpacing/>
        <w:jc w:val="left"/>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schede di sicurezza, ove previsto;</w:t>
      </w:r>
    </w:p>
    <w:p>
      <w:pPr>
        <w:pStyle w:val="ListParagraph"/>
        <w:numPr>
          <w:ilvl w:val="0"/>
          <w:numId w:val="4"/>
        </w:numPr>
        <w:spacing w:lineRule="auto" w:line="360" w:before="0" w:after="0"/>
        <w:contextualSpacing/>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 xml:space="preserve">Documentazione Tecnica; </w:t>
      </w:r>
    </w:p>
    <w:p>
      <w:pPr>
        <w:pStyle w:val="ListParagraph"/>
        <w:numPr>
          <w:ilvl w:val="0"/>
          <w:numId w:val="4"/>
        </w:numPr>
        <w:spacing w:lineRule="auto" w:line="360" w:before="0" w:after="0"/>
        <w:contextualSpacing/>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 xml:space="preserve">L’operatore economico invitato in fase di offerta dovrà fornire la seguente documentazione tecnica: </w:t>
      </w:r>
    </w:p>
    <w:p>
      <w:pPr>
        <w:pStyle w:val="ListParagraph"/>
        <w:numPr>
          <w:ilvl w:val="0"/>
          <w:numId w:val="0"/>
        </w:numPr>
        <w:spacing w:lineRule="auto" w:line="360" w:before="0" w:after="0"/>
        <w:ind w:left="1775" w:hanging="0"/>
        <w:contextualSpacing/>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 xml:space="preserve">1. Schede tecniche dei farmaci; </w:t>
      </w:r>
    </w:p>
    <w:p>
      <w:pPr>
        <w:pStyle w:val="ListParagraph"/>
        <w:numPr>
          <w:ilvl w:val="0"/>
          <w:numId w:val="0"/>
        </w:numPr>
        <w:spacing w:lineRule="auto" w:line="360" w:before="0" w:after="0"/>
        <w:ind w:left="1775" w:hanging="0"/>
        <w:contextualSpacing/>
        <w:rPr>
          <w:rFonts w:ascii="Times New Roman" w:hAnsi="Times New Roman" w:eastAsia="Arial" w:cs="Arial"/>
          <w:color w:val="000000"/>
          <w:sz w:val="24"/>
          <w:szCs w:val="24"/>
          <w:lang w:val="it-IT" w:eastAsia="it-IT" w:bidi="ar-SA"/>
        </w:rPr>
      </w:pPr>
      <w:r>
        <w:rPr>
          <w:rFonts w:eastAsia="Arial" w:cs="Arial" w:ascii="Times New Roman" w:hAnsi="Times New Roman"/>
          <w:color w:val="000000"/>
          <w:sz w:val="24"/>
          <w:szCs w:val="24"/>
          <w:lang w:val="it-IT" w:eastAsia="it-IT" w:bidi="ar-SA"/>
        </w:rPr>
        <w:t>2. Schede di sicurezza di tutti i materiali offerti;</w:t>
      </w:r>
    </w:p>
    <w:p>
      <w:pPr>
        <w:pStyle w:val="Titolo1"/>
        <w:jc w:val="left"/>
        <w:rPr>
          <w:rFonts w:ascii="Times New Roman" w:hAnsi="Times New Roman" w:eastAsia="Calibri" w:cs="Calibri"/>
          <w:b/>
          <w:b/>
          <w:bCs/>
          <w:color w:val="000000"/>
          <w:sz w:val="28"/>
          <w:szCs w:val="28"/>
          <w:lang w:val="it-IT" w:eastAsia="it-IT" w:bidi="ar-SA"/>
        </w:rPr>
      </w:pPr>
      <w:bookmarkStart w:id="7" w:name="__RefHeading___Toc18878_272525276"/>
      <w:bookmarkEnd w:id="7"/>
      <w:r>
        <w:rPr>
          <w:rFonts w:eastAsia="Calibri" w:cs="Calibri" w:ascii="Times New Roman" w:hAnsi="Times New Roman"/>
          <w:b/>
          <w:bCs/>
          <w:color w:val="000000"/>
          <w:sz w:val="28"/>
          <w:szCs w:val="28"/>
          <w:lang w:val="it-IT" w:eastAsia="it-IT" w:bidi="ar-SA"/>
        </w:rPr>
        <w:t>5. Servizi accessori</w:t>
      </w:r>
    </w:p>
    <w:p>
      <w:pPr>
        <w:pStyle w:val="Normal"/>
        <w:shd w:val="clear" w:color="auto" w:fill="FFFFFF"/>
        <w:rPr>
          <w:rFonts w:ascii="Times New Roman" w:hAnsi="Times New Roman"/>
          <w:sz w:val="24"/>
          <w:szCs w:val="24"/>
        </w:rPr>
      </w:pPr>
      <w:r>
        <w:rPr>
          <w:rFonts w:eastAsia="Times New Roman" w:cs="Arial" w:ascii="Times New Roman" w:hAnsi="Times New Roman" w:cstheme="minorBidi"/>
          <w:color w:val="222222"/>
          <w:sz w:val="24"/>
          <w:szCs w:val="24"/>
        </w:rPr>
        <w:t>I servizi accessori richiesti sono:</w:t>
      </w:r>
    </w:p>
    <w:p>
      <w:pPr>
        <w:pStyle w:val="Normal"/>
        <w:numPr>
          <w:ilvl w:val="0"/>
          <w:numId w:val="5"/>
        </w:numPr>
        <w:shd w:val="clear" w:color="auto" w:fill="FFFFFF"/>
        <w:suppressAutoHyphens w:val="false"/>
        <w:spacing w:before="0" w:after="32"/>
        <w:rPr>
          <w:rFonts w:ascii="Times New Roman" w:hAnsi="Times New Roman"/>
          <w:sz w:val="24"/>
          <w:szCs w:val="24"/>
        </w:rPr>
      </w:pPr>
      <w:r>
        <w:rPr>
          <w:rFonts w:eastAsia="Times New Roman" w:cs="Arial" w:ascii="Times New Roman" w:hAnsi="Times New Roman" w:cstheme="minorBidi"/>
          <w:sz w:val="24"/>
          <w:szCs w:val="24"/>
        </w:rPr>
        <w:t>progettazione e realizzazione (in conformità alla normativa vigente ed alle prescrizioni degli enti preposti alle autorizzazioni e verifiche) delle opere edilizie ed impiantistiche necessarie al completo allestimento dei locali che saranno messi a disposizione dall’Azienda per la realizzazione del Laboratorio, presso la Farmacia del P.O. di Lamezia Terme, come da allegata planimetria.</w:t>
      </w:r>
    </w:p>
    <w:p>
      <w:pPr>
        <w:pStyle w:val="ListParagraph"/>
        <w:numPr>
          <w:ilvl w:val="0"/>
          <w:numId w:val="5"/>
        </w:numPr>
        <w:spacing w:lineRule="auto" w:line="360" w:before="0" w:after="0"/>
        <w:contextualSpacing/>
        <w:jc w:val="both"/>
        <w:rPr/>
      </w:pPr>
      <w:r>
        <w:rPr>
          <w:rFonts w:eastAsia="Times New Roman" w:cs="Arial" w:ascii="Times New Roman" w:hAnsi="Times New Roman" w:cstheme="minorBidi"/>
          <w:color w:val="000000"/>
          <w:sz w:val="24"/>
          <w:szCs w:val="24"/>
          <w:lang w:val="it-IT" w:eastAsia="it-IT" w:bidi="ar-SA"/>
        </w:rPr>
        <w:t xml:space="preserve">manutenzione </w:t>
      </w:r>
      <w:r>
        <w:rPr>
          <w:rFonts w:eastAsia="Calibri" w:cs="Calibri" w:ascii="Times New Roman" w:hAnsi="Times New Roman"/>
          <w:color w:val="000000"/>
          <w:sz w:val="24"/>
          <w:szCs w:val="24"/>
          <w:lang w:val="it-IT" w:eastAsia="it-IT" w:bidi="ar-SA"/>
        </w:rPr>
        <w:t>omnicomprensivo</w:t>
      </w:r>
      <w:r>
        <w:rPr>
          <w:rFonts w:eastAsia="Times New Roman" w:cs="Arial" w:ascii="Times New Roman" w:hAnsi="Times New Roman" w:cstheme="minorBidi"/>
          <w:color w:val="000000"/>
          <w:sz w:val="24"/>
          <w:szCs w:val="24"/>
          <w:lang w:val="it-IT" w:eastAsia="it-IT" w:bidi="ar-SA"/>
        </w:rPr>
        <w:t xml:space="preserve">, in conformità alla normativa vigente e comprensiva del Servizio di Qualifica PQ, (Performance qualification: certificazione dello strumento nel tempo con utilizzo di procedure e standard certificati) degli impianti e delle cappe al servizio del sopra citato Laboratorio di allestimento centralizzato; </w:t>
      </w:r>
    </w:p>
    <w:p>
      <w:pPr>
        <w:pStyle w:val="ListParagraph"/>
        <w:numPr>
          <w:ilvl w:val="0"/>
          <w:numId w:val="5"/>
        </w:numPr>
        <w:spacing w:lineRule="auto" w:line="360" w:before="0" w:after="0"/>
        <w:contextualSpacing/>
        <w:jc w:val="both"/>
        <w:rPr>
          <w:rFonts w:ascii="Times New Roman" w:hAnsi="Times New Roman" w:eastAsia="Times New Roman" w:cs="Arial" w:cstheme="minorBidi"/>
          <w:color w:val="000000"/>
          <w:sz w:val="24"/>
          <w:szCs w:val="24"/>
          <w:lang w:val="it-IT" w:eastAsia="it-IT" w:bidi="ar-SA"/>
        </w:rPr>
      </w:pPr>
      <w:r>
        <w:rPr>
          <w:rFonts w:eastAsia="Times New Roman" w:cs="Arial" w:ascii="Times New Roman" w:hAnsi="Times New Roman" w:cstheme="minorBidi"/>
          <w:color w:val="000000"/>
          <w:sz w:val="24"/>
          <w:szCs w:val="24"/>
          <w:lang w:val="it-IT" w:eastAsia="it-IT" w:bidi="ar-SA"/>
        </w:rPr>
        <w:t xml:space="preserve">servizio di Qualifica IQ/OQ del laboratorio (IQ-Installation qualification: certificazione dell’installazione dello strumento; OQ - Operation qualification: certificazione dello strumento con utilizzo di procedure validate e standard certificati); </w:t>
      </w:r>
    </w:p>
    <w:p>
      <w:pPr>
        <w:pStyle w:val="ListParagraph"/>
        <w:numPr>
          <w:ilvl w:val="0"/>
          <w:numId w:val="5"/>
        </w:numPr>
        <w:spacing w:lineRule="auto" w:line="360" w:before="0" w:after="0"/>
        <w:contextualSpacing/>
        <w:jc w:val="both"/>
        <w:rPr>
          <w:rFonts w:ascii="Times New Roman" w:hAnsi="Times New Roman" w:eastAsia="Times New Roman" w:cs="Arial" w:cstheme="minorBidi"/>
          <w:color w:val="000000"/>
          <w:sz w:val="24"/>
          <w:szCs w:val="24"/>
          <w:lang w:val="it-IT" w:eastAsia="it-IT" w:bidi="ar-SA"/>
        </w:rPr>
      </w:pPr>
      <w:r>
        <w:rPr>
          <w:rFonts w:eastAsia="Times New Roman" w:cs="Arial" w:ascii="Times New Roman" w:hAnsi="Times New Roman" w:cstheme="minorBidi"/>
          <w:color w:val="000000"/>
          <w:sz w:val="24"/>
          <w:szCs w:val="24"/>
          <w:lang w:val="it-IT" w:eastAsia="it-IT" w:bidi="ar-SA"/>
        </w:rPr>
        <w:t xml:space="preserve">fornitura e manutenzione ordinaria e straordinaria delle apparecchiature/attrezzature fornite ed installate per tutta la durata della fornitura; </w:t>
      </w:r>
    </w:p>
    <w:p>
      <w:pPr>
        <w:pStyle w:val="ListParagraph"/>
        <w:numPr>
          <w:ilvl w:val="0"/>
          <w:numId w:val="5"/>
        </w:numPr>
        <w:spacing w:lineRule="auto" w:line="360" w:before="0" w:after="0"/>
        <w:contextualSpacing/>
        <w:jc w:val="both"/>
        <w:rPr>
          <w:rFonts w:ascii="Times New Roman" w:hAnsi="Times New Roman" w:eastAsia="Times New Roman" w:cs="Arial" w:cstheme="minorBidi"/>
          <w:color w:val="000000"/>
          <w:sz w:val="24"/>
          <w:szCs w:val="24"/>
          <w:lang w:val="it-IT" w:eastAsia="it-IT" w:bidi="ar-SA"/>
        </w:rPr>
      </w:pPr>
      <w:r>
        <w:rPr>
          <w:rFonts w:eastAsia="Times New Roman" w:cs="Arial" w:ascii="Times New Roman" w:hAnsi="Times New Roman" w:cstheme="minorBidi"/>
          <w:color w:val="000000"/>
          <w:sz w:val="24"/>
          <w:szCs w:val="24"/>
          <w:lang w:val="it-IT" w:eastAsia="it-IT" w:bidi="ar-SA"/>
        </w:rPr>
        <w:t xml:space="preserve">addestramento e formazione del personale identificato per allestimento; </w:t>
      </w:r>
    </w:p>
    <w:p>
      <w:pPr>
        <w:pStyle w:val="Normal"/>
        <w:numPr>
          <w:ilvl w:val="0"/>
          <w:numId w:val="5"/>
        </w:numPr>
        <w:shd w:val="clear" w:color="auto" w:fill="FFFFFF"/>
        <w:suppressAutoHyphens w:val="false"/>
        <w:spacing w:lineRule="auto" w:line="360" w:before="0" w:after="0"/>
        <w:rPr>
          <w:rFonts w:ascii="Times New Roman" w:hAnsi="Times New Roman"/>
          <w:sz w:val="24"/>
          <w:szCs w:val="24"/>
        </w:rPr>
      </w:pPr>
      <w:r>
        <w:rPr>
          <w:rFonts w:eastAsia="Times New Roman" w:cs="Arial" w:ascii="Times New Roman" w:hAnsi="Times New Roman" w:cstheme="minorBidi"/>
          <w:color w:val="000000"/>
          <w:sz w:val="24"/>
          <w:szCs w:val="24"/>
          <w:lang w:val="it-IT" w:eastAsia="it-IT" w:bidi="ar-SA"/>
        </w:rPr>
        <w:t>servizio di convalida del processo di allestimento in asepsi (media fill test) e controllo di classe e contaminazione ambiente operatore per il Laboratorio UFA. Il servizio di convalida del processo di allestimento di asepsi (Media Fill Test) e il controllo di classe e contaminazione ambiente per l’unità farmaci antiblastici deve essere svolto in conformità alla farmacopea italiana (NBP), alle GMP - Annex 1 e alle normative UNI EN ISO 14644-14698.</w:t>
      </w:r>
    </w:p>
    <w:p>
      <w:pPr>
        <w:pStyle w:val="Normal"/>
        <w:numPr>
          <w:ilvl w:val="0"/>
          <w:numId w:val="5"/>
        </w:numPr>
        <w:shd w:val="clear" w:color="auto" w:fill="FFFFFF"/>
        <w:suppressAutoHyphens w:val="false"/>
        <w:spacing w:lineRule="auto" w:line="360" w:before="0" w:after="0"/>
        <w:rPr/>
      </w:pPr>
      <w:r>
        <w:rPr>
          <w:rFonts w:eastAsia="Times New Roman" w:cs="Arial" w:ascii="Times New Roman" w:hAnsi="Times New Roman" w:cstheme="minorBidi"/>
          <w:color w:val="000000"/>
          <w:sz w:val="24"/>
          <w:szCs w:val="24"/>
          <w:lang w:val="it-IT" w:eastAsia="it-IT" w:bidi="ar-SA"/>
        </w:rPr>
        <w:t xml:space="preserve">Fornitura di un farmacista per la preparazione di farmaci chemioterapici per due anni per 20 ore/settimana, per un costo complessivo biennale presunto di € 70.000,00. </w:t>
      </w:r>
    </w:p>
    <w:p>
      <w:pPr>
        <w:pStyle w:val="Titolo1"/>
        <w:jc w:val="left"/>
        <w:rPr/>
      </w:pPr>
      <w:bookmarkStart w:id="8" w:name="__RefHeading___Toc18880_272525276"/>
      <w:bookmarkEnd w:id="8"/>
      <w:r>
        <w:rPr>
          <w:rFonts w:eastAsia="Calibri" w:cs="Calibri" w:ascii="Times New Roman" w:hAnsi="Times New Roman"/>
          <w:b/>
          <w:bCs/>
          <w:color w:val="000000"/>
          <w:sz w:val="28"/>
          <w:szCs w:val="28"/>
          <w:lang w:val="it-IT" w:eastAsia="it-IT" w:bidi="ar-SA"/>
        </w:rPr>
        <w:t>6. Obblighi dell’aggiudicatario – Riservatezza</w:t>
      </w:r>
    </w:p>
    <w:p>
      <w:pPr>
        <w:pStyle w:val="Normal"/>
        <w:ind w:left="-5" w:hanging="10"/>
        <w:rPr/>
      </w:pPr>
      <w:r>
        <w:rPr>
          <w:rFonts w:ascii="Times New Roman" w:hAnsi="Times New Roman"/>
          <w:sz w:val="24"/>
          <w:szCs w:val="24"/>
        </w:rPr>
        <w:t>Il Fornitore si impegna affinché tutte le informazioni di cui il personale utilizzato verrà a conoscenza nello svolgimento dell’appalto, siano considerate riservate e coperte da segreto. In tal senso, il Fornitore si obbliga ad adottare con i propri dipendenti e consulenti tutte le cautele necessarie a tutelare la riservatezza di tali informazioni e/o documentazione.</w:t>
      </w:r>
    </w:p>
    <w:p>
      <w:pPr>
        <w:pStyle w:val="Normal"/>
        <w:ind w:left="-5" w:hanging="10"/>
        <w:rPr>
          <w:rFonts w:ascii="Times New Roman" w:hAnsi="Times New Roman"/>
          <w:sz w:val="24"/>
          <w:szCs w:val="24"/>
        </w:rPr>
      </w:pPr>
      <w:r>
        <w:rPr>
          <w:rFonts w:ascii="Times New Roman" w:hAnsi="Times New Roman"/>
          <w:sz w:val="24"/>
          <w:szCs w:val="24"/>
        </w:rPr>
        <w:t xml:space="preserve">Il Fornitore aggiudicatario ha l’obbligo di mantenere riservati i dati e le informazioni di cui venga in possesso e, comunque, a conoscenza, è tenuto altresì a non divulgarli in alcun modo e in qualsiasi forma e di non farne oggetto di utilizzazione a qualsiasi titolo per scopi diversi da quelli strettamente necessari all’esecuzione del contratto. </w:t>
      </w:r>
    </w:p>
    <w:p>
      <w:pPr>
        <w:pStyle w:val="Normal"/>
        <w:ind w:left="-5" w:hanging="10"/>
        <w:rPr>
          <w:rFonts w:ascii="Times New Roman" w:hAnsi="Times New Roman"/>
          <w:sz w:val="24"/>
          <w:szCs w:val="24"/>
        </w:rPr>
      </w:pPr>
      <w:r>
        <w:rPr>
          <w:rFonts w:ascii="Times New Roman" w:hAnsi="Times New Roman"/>
          <w:sz w:val="24"/>
          <w:szCs w:val="24"/>
        </w:rPr>
        <w:t xml:space="preserve">L’obbligo non concerne i dati che siano o divengano di pubblico dominio. </w:t>
      </w:r>
    </w:p>
    <w:p>
      <w:pPr>
        <w:pStyle w:val="Normal"/>
        <w:ind w:left="-5" w:hanging="10"/>
        <w:rPr>
          <w:rFonts w:ascii="Times New Roman" w:hAnsi="Times New Roman"/>
          <w:sz w:val="24"/>
          <w:szCs w:val="24"/>
        </w:rPr>
      </w:pPr>
      <w:r>
        <w:rPr>
          <w:rFonts w:ascii="Times New Roman" w:hAnsi="Times New Roman"/>
          <w:sz w:val="24"/>
          <w:szCs w:val="24"/>
        </w:rPr>
        <w:t xml:space="preserve">Il Fornitore è responsabile per l’esatta osservanza da parte dei propri dipendenti, consulenti e collaboratori, nonché di subappaltatori e dei dipendenti, consulenti e collaboratori di questi ultimi, degli obblighi di segretezza anzidetti. </w:t>
      </w:r>
    </w:p>
    <w:p>
      <w:pPr>
        <w:pStyle w:val="Normal"/>
        <w:spacing w:before="0" w:after="218"/>
        <w:ind w:left="-5" w:hanging="10"/>
        <w:rPr>
          <w:rFonts w:ascii="Times New Roman" w:hAnsi="Times New Roman"/>
          <w:sz w:val="24"/>
          <w:szCs w:val="24"/>
        </w:rPr>
      </w:pPr>
      <w:r>
        <w:rPr>
          <w:rFonts w:ascii="Times New Roman" w:hAnsi="Times New Roman"/>
          <w:sz w:val="24"/>
          <w:szCs w:val="24"/>
        </w:rPr>
        <w:t>Il Fornitore si impegna, altresì, a rispettare quanto previsto dal D.Lgs. n. 196/2003, come modificato dal D.Lgs. 101/2018, e dai relativi regolamenti di attuazione in materia di riservatezza, nonché dalla normativa 2016/679/UE (Nuovo Regolamento Europeo in materia di gestione dei Dati Personali, denominato per brevità “GDPR”).</w:t>
      </w:r>
      <w:r>
        <w:rPr>
          <w:rFonts w:eastAsia="Times New Roman" w:cs="Times New Roman" w:ascii="Times New Roman" w:hAnsi="Times New Roman"/>
          <w:sz w:val="24"/>
          <w:szCs w:val="24"/>
        </w:rPr>
        <w:t xml:space="preserve"> </w:t>
      </w:r>
    </w:p>
    <w:p>
      <w:pPr>
        <w:pStyle w:val="Titolo1"/>
        <w:jc w:val="left"/>
        <w:rPr>
          <w:rFonts w:ascii="Times New Roman" w:hAnsi="Times New Roman" w:eastAsia="Calibri" w:cs="Calibri"/>
          <w:b/>
          <w:b/>
          <w:bCs/>
          <w:color w:val="000000"/>
          <w:sz w:val="28"/>
          <w:szCs w:val="28"/>
          <w:lang w:val="it-IT" w:eastAsia="it-IT" w:bidi="ar-SA"/>
        </w:rPr>
      </w:pPr>
      <w:bookmarkStart w:id="9" w:name="__RefHeading___Toc18882_272525276"/>
      <w:bookmarkEnd w:id="9"/>
      <w:r>
        <w:rPr>
          <w:rFonts w:eastAsia="Calibri" w:cs="Calibri" w:ascii="Times New Roman" w:hAnsi="Times New Roman"/>
          <w:b/>
          <w:bCs/>
          <w:color w:val="000000"/>
          <w:sz w:val="28"/>
          <w:szCs w:val="28"/>
          <w:lang w:val="it-IT" w:eastAsia="it-IT" w:bidi="ar-SA"/>
        </w:rPr>
        <w:t>7. Direzione dell’esecuzione, controlli e verifiche della fornitura</w:t>
      </w:r>
    </w:p>
    <w:p>
      <w:pPr>
        <w:pStyle w:val="Normal"/>
        <w:ind w:left="-5" w:hanging="10"/>
        <w:rPr>
          <w:rFonts w:ascii="Times New Roman" w:hAnsi="Times New Roman"/>
          <w:sz w:val="24"/>
          <w:szCs w:val="24"/>
        </w:rPr>
      </w:pPr>
      <w:r>
        <w:rPr>
          <w:rFonts w:ascii="Times New Roman" w:hAnsi="Times New Roman"/>
          <w:sz w:val="24"/>
          <w:szCs w:val="24"/>
        </w:rPr>
        <w:t xml:space="preserve">Le attività di controllo sull’esecuzione sono affidate, ai sensi dell’art. 114 del codice dei contratti pubblici, al RUP e al Direttore dell’Esecuzione del Contratto (DEC) e loro assistenti, che accerteranno la qualità della fornitura e la rispondenza alle norme generali e specifiche di cui al presente capitolato, nonché alla campionatura eventualmente presentata in sede di gara. </w:t>
      </w:r>
    </w:p>
    <w:p>
      <w:pPr>
        <w:pStyle w:val="Normal"/>
        <w:ind w:left="-5" w:hanging="10"/>
        <w:rPr>
          <w:rFonts w:ascii="Times New Roman" w:hAnsi="Times New Roman"/>
          <w:sz w:val="24"/>
          <w:szCs w:val="24"/>
        </w:rPr>
      </w:pPr>
      <w:r>
        <w:rPr>
          <w:rFonts w:ascii="Times New Roman" w:hAnsi="Times New Roman"/>
          <w:sz w:val="24"/>
          <w:szCs w:val="24"/>
        </w:rPr>
        <w:t xml:space="preserve">L’accettazione dei prodotti forniti avverrà sulla base del controllo quali-quantitativo effettuato dall’U.O. Farmacia Ospedaliera del P.O. di Lamezia Terme. La firma apposta per accettazione della merce non esonera il Fornitore dal rispondere ad eventuali contestazioni che potessero insorgere all’atto dell’utilizzazione del prodotto. </w:t>
      </w:r>
    </w:p>
    <w:p>
      <w:pPr>
        <w:pStyle w:val="Normal"/>
        <w:spacing w:lineRule="auto" w:line="360"/>
        <w:ind w:left="-5" w:hanging="10"/>
        <w:rPr/>
      </w:pPr>
      <w:r>
        <w:rPr>
          <w:rFonts w:ascii="Times New Roman" w:hAnsi="Times New Roman"/>
          <w:sz w:val="24"/>
          <w:szCs w:val="24"/>
        </w:rPr>
        <w:t xml:space="preserve">Salva l’applicazione della penalità di cui al presente capitolato, ove in fase di verifiche di conformità, vengano rilevate imperfezioni o vizi, ovvero anomalie nelle prestazioni dell’appalto, il Fornitore dovrà provvedere alla completa eliminazione delle irregolarità, se si tratta di vizi o difetti eliminabili, in senso contrario dovrà garantire la sostituzione del materiale o delle apparecchiature o l'adeguamento del sistema nel più breve tempo possibile e comunque non oltre il termine che verrà fissato dal Direttore dell’Esecuzione del Contratto.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Ad integrazione, in caso di mancata rispondenza ai requisiti contrattuali, si potrà procedere in uno dei seguenti modi: </w:t>
      </w:r>
    </w:p>
    <w:p>
      <w:pPr>
        <w:pStyle w:val="Normal"/>
        <w:numPr>
          <w:ilvl w:val="0"/>
          <w:numId w:val="1"/>
        </w:numPr>
        <w:suppressAutoHyphens w:val="false"/>
        <w:spacing w:lineRule="auto" w:line="360" w:before="0" w:after="46"/>
        <w:ind w:left="708" w:hanging="348"/>
        <w:rPr>
          <w:rFonts w:ascii="Times New Roman" w:hAnsi="Times New Roman"/>
          <w:sz w:val="24"/>
          <w:szCs w:val="24"/>
        </w:rPr>
      </w:pPr>
      <w:r>
        <w:rPr>
          <w:rFonts w:ascii="Times New Roman" w:hAnsi="Times New Roman"/>
          <w:sz w:val="24"/>
          <w:szCs w:val="24"/>
        </w:rPr>
        <w:t xml:space="preserve">contestare le difformità rilevate al Fornitore che dovrà impegnarsi a regolarizzarle entro i termini indicati dalla struttura richiedente, ove ciò non avvenga si procederà come previsto nell'art 12; </w:t>
      </w:r>
    </w:p>
    <w:p>
      <w:pPr>
        <w:pStyle w:val="Normal"/>
        <w:numPr>
          <w:ilvl w:val="0"/>
          <w:numId w:val="1"/>
        </w:numPr>
        <w:suppressAutoHyphens w:val="false"/>
        <w:spacing w:lineRule="auto" w:line="360" w:before="0" w:after="46"/>
        <w:ind w:left="708" w:hanging="348"/>
        <w:rPr/>
      </w:pPr>
      <w:r>
        <w:rPr>
          <w:rFonts w:ascii="Times New Roman" w:hAnsi="Times New Roman"/>
          <w:sz w:val="24"/>
          <w:szCs w:val="24"/>
        </w:rPr>
        <w:t xml:space="preserve">procedere all’acquisizione in danno, salvo l’esperimento di ogni altra azione a tutela dei propri interessi, e salvo, in ogni caso, il risarcimento degli ulteriori danni; </w:t>
      </w:r>
    </w:p>
    <w:p>
      <w:pPr>
        <w:pStyle w:val="Normal"/>
        <w:numPr>
          <w:ilvl w:val="0"/>
          <w:numId w:val="1"/>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considerare risolto il contratto e incamerarne il deposito cauzionale a titolo di penale, salvo ulteriore e più ampia tutela dei propri interessi nelle sedi competenti. </w:t>
      </w:r>
    </w:p>
    <w:p>
      <w:pPr>
        <w:pStyle w:val="Normal"/>
        <w:spacing w:lineRule="auto" w:line="360" w:before="0" w:after="239"/>
        <w:ind w:left="-5" w:hanging="10"/>
        <w:rPr/>
      </w:pPr>
      <w:r>
        <w:rPr>
          <w:rFonts w:ascii="Times New Roman" w:hAnsi="Times New Roman"/>
          <w:sz w:val="24"/>
          <w:szCs w:val="24"/>
        </w:rPr>
        <w:t xml:space="preserve">Nel corso dell’esecuzione del contratto, le unità operative aziendali, comunque interessate ai normali adempimenti gravanti sul Fornitore, dovranno segnalare al DEC con modalità operative da definire in sede contrattuale le inadempienze da contestare.  </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0" w:name="__RefHeading___Toc18884_272525276"/>
      <w:bookmarkEnd w:id="10"/>
      <w:r>
        <w:rPr>
          <w:rFonts w:eastAsia="Calibri" w:cs="Calibri" w:ascii="Times New Roman" w:hAnsi="Times New Roman"/>
          <w:b/>
          <w:bCs/>
          <w:color w:val="000000"/>
          <w:sz w:val="28"/>
          <w:szCs w:val="28"/>
          <w:lang w:val="it-IT" w:eastAsia="it-IT" w:bidi="ar-SA"/>
        </w:rPr>
        <w:t>8. Innovazione tecnologica</w:t>
      </w:r>
    </w:p>
    <w:p>
      <w:pPr>
        <w:pStyle w:val="Normal"/>
        <w:spacing w:lineRule="auto" w:line="360"/>
        <w:ind w:left="-5" w:hanging="10"/>
        <w:rPr>
          <w:rFonts w:ascii="Times New Roman" w:hAnsi="Times New Roman"/>
          <w:sz w:val="24"/>
          <w:szCs w:val="24"/>
        </w:rPr>
      </w:pPr>
      <w:r>
        <w:rPr>
          <w:rFonts w:ascii="Times New Roman" w:hAnsi="Times New Roman"/>
          <w:sz w:val="24"/>
          <w:szCs w:val="24"/>
        </w:rPr>
        <w:t>Qualora, durante la durata del contratto di appalto, dovesse essere interrotta la produzione</w:t>
      </w:r>
      <w:r>
        <w:rPr>
          <w:rFonts w:eastAsia="Times New Roman" w:cs="Times New Roman" w:ascii="Times New Roman" w:hAnsi="Times New Roman"/>
          <w:sz w:val="24"/>
          <w:szCs w:val="24"/>
        </w:rPr>
        <w:t xml:space="preserve"> </w:t>
      </w:r>
      <w:r>
        <w:rPr>
          <w:rFonts w:ascii="Times New Roman" w:hAnsi="Times New Roman"/>
          <w:sz w:val="24"/>
          <w:szCs w:val="24"/>
        </w:rPr>
        <w:t>del prodotto aggiudicato,</w:t>
      </w:r>
      <w:r>
        <w:rPr>
          <w:rFonts w:eastAsia="Times New Roman" w:cs="Times New Roman" w:ascii="Times New Roman" w:hAnsi="Times New Roman"/>
          <w:sz w:val="24"/>
          <w:szCs w:val="24"/>
        </w:rPr>
        <w:t xml:space="preserve"> </w:t>
      </w:r>
      <w:r>
        <w:rPr>
          <w:rFonts w:ascii="Times New Roman" w:hAnsi="Times New Roman"/>
          <w:sz w:val="24"/>
          <w:szCs w:val="24"/>
        </w:rPr>
        <w:t>il Fornitore dovrà, sempre e in ogni caso, proporre ai DEC la sostituzione del prodotto aggiudicato con il nuovo e analogo prodotto</w:t>
      </w:r>
      <w:r>
        <w:rPr>
          <w:rFonts w:eastAsia="Times New Roman" w:cs="Times New Roman" w:ascii="Times New Roman" w:hAnsi="Times New Roman"/>
          <w:sz w:val="24"/>
          <w:szCs w:val="24"/>
        </w:rPr>
        <w:t xml:space="preserve"> </w:t>
      </w:r>
      <w:r>
        <w:rPr>
          <w:rFonts w:ascii="Times New Roman" w:hAnsi="Times New Roman"/>
          <w:sz w:val="24"/>
          <w:szCs w:val="24"/>
        </w:rPr>
        <w:t xml:space="preserve">che sostituisce il primo, alle stesse condizioni di fornitura ovvero migliorative. Qualora il Fornitore, durante la durata dei contratti di fornitura, presenti in commercio nuovi prodotti, analoghi a quelli oggetto della fornitura (anche a seguito di modifiche normative), i quali presentino migliori caratteristiche di rendimento, dovrà proporre al DEC la sostituzione dei prodotti aggiudicati alle stesse condizioni di fornitura ovvero migliorative.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In quest’ultimo caso, qualora ciò non fosse possibile, il Fornitore dovrà motivare tale impossibilità e la Stazione appaltante potrà richiedere al Fornitore di applicare la medesima percentuale di sconto applicata sul singolo prodotto aggiudicato. </w:t>
      </w:r>
    </w:p>
    <w:p>
      <w:pPr>
        <w:pStyle w:val="Normal"/>
        <w:spacing w:lineRule="auto" w:line="360" w:before="0" w:after="218"/>
        <w:ind w:left="-5" w:hanging="10"/>
        <w:rPr>
          <w:rFonts w:ascii="Times New Roman" w:hAnsi="Times New Roman"/>
          <w:sz w:val="24"/>
          <w:szCs w:val="24"/>
        </w:rPr>
      </w:pPr>
      <w:r>
        <w:rPr>
          <w:rFonts w:ascii="Times New Roman" w:hAnsi="Times New Roman"/>
          <w:sz w:val="24"/>
          <w:szCs w:val="24"/>
        </w:rPr>
        <w:t>Il Fornitore, non potrà muovere alcuna eccezione per ogni maggiore o minore quantità di prodotti effettivamente forniti. La Stazione Appaltante si riserva, comunque, la facoltà nel corso della fornitura di sospendere, stralciare o variare nei quantitativi quei prodotti che non risultassero più idonei a seguito di mutamento negli indirizzi tecnico-scientifici o per l’esigenza operativa della Stazione Appaltante. Il Fornitore sarà tenuto, pertanto, a fornire gli articoli aggiudicati nella quantità richiesta volta per volta al singolo prezzo pattuito.</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1" w:name="__RefHeading___Toc18886_272525276"/>
      <w:bookmarkEnd w:id="11"/>
      <w:r>
        <w:rPr>
          <w:rFonts w:eastAsia="Calibri" w:cs="Calibri" w:ascii="Times New Roman" w:hAnsi="Times New Roman"/>
          <w:b/>
          <w:bCs/>
          <w:color w:val="000000"/>
          <w:sz w:val="28"/>
          <w:szCs w:val="28"/>
          <w:lang w:val="it-IT" w:eastAsia="it-IT" w:bidi="ar-SA"/>
        </w:rPr>
        <w:t>9. Referente dell’appaltatore</w:t>
      </w:r>
    </w:p>
    <w:p>
      <w:pPr>
        <w:pStyle w:val="Normal"/>
        <w:spacing w:lineRule="auto" w:line="360" w:before="0" w:after="235"/>
        <w:ind w:left="-5" w:hanging="10"/>
        <w:rPr>
          <w:rFonts w:ascii="Times New Roman" w:hAnsi="Times New Roman"/>
          <w:sz w:val="24"/>
          <w:szCs w:val="24"/>
        </w:rPr>
      </w:pPr>
      <w:r>
        <w:rPr>
          <w:rFonts w:ascii="Times New Roman" w:hAnsi="Times New Roman"/>
          <w:sz w:val="24"/>
          <w:szCs w:val="24"/>
        </w:rPr>
        <w:t xml:space="preserve">Al momento della sottoscrizione del Contratto, l’Appaltatore dovrà individuare un proprio referente, con l’indicazione del numero di telefono, dell’indirizzo mail, per ogni comunicazione che si dovesse rendere necessaria in ordine alla fornitura oggetto dell’appalto. </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2" w:name="__RefHeading___Toc18888_272525276"/>
      <w:bookmarkEnd w:id="12"/>
      <w:r>
        <w:rPr>
          <w:rFonts w:eastAsia="Calibri" w:cs="Calibri" w:ascii="Times New Roman" w:hAnsi="Times New Roman"/>
          <w:b/>
          <w:bCs/>
          <w:color w:val="000000"/>
          <w:sz w:val="28"/>
          <w:szCs w:val="28"/>
          <w:lang w:val="it-IT" w:eastAsia="it-IT" w:bidi="ar-SA"/>
        </w:rPr>
        <w:t>10. Responsabilità</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Il Fornitore, espressamente ed irrevocabilmente, assume a proprio carico: </w:t>
      </w:r>
    </w:p>
    <w:p>
      <w:pPr>
        <w:pStyle w:val="Normal"/>
        <w:numPr>
          <w:ilvl w:val="0"/>
          <w:numId w:val="2"/>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il rischio completo ed incondizionato dei danni arrecati a persone e/o a cose appartenenti alla propria organizzazione all’interno e all’esterno delle Strutture luogo di esecuzione del servizio per fatti ed attività connessi all’esecuzione del contratto, salvo che non possa essere dimostrata la responsabilità dell’ASP; </w:t>
      </w:r>
    </w:p>
    <w:p>
      <w:pPr>
        <w:pStyle w:val="Normal"/>
        <w:numPr>
          <w:ilvl w:val="0"/>
          <w:numId w:val="2"/>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ogni responsabilità per infortuni e danni a persone e/o cose facenti capo all’Azienda appaltante o a terzi per fatto proprio o dei suoi dipendenti e dei suoi collaboratori, anche se esterni, nell’esecuzione degli adempimenti assunti con il contratto, sollevando pertanto l’ASP da qualsiasi obbligazione nei confronti di terzi; </w:t>
      </w:r>
    </w:p>
    <w:p>
      <w:pPr>
        <w:pStyle w:val="Normal"/>
        <w:numPr>
          <w:ilvl w:val="0"/>
          <w:numId w:val="2"/>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ogni responsabilità per l’uso di dispositivi o per l’adozione di soluzioni tecniche o di altra natura che violino brevetti per invenzioni, modelli industriali, marchi e diritti di autore. </w:t>
      </w:r>
    </w:p>
    <w:p>
      <w:pPr>
        <w:pStyle w:val="Normal"/>
        <w:numPr>
          <w:ilvl w:val="0"/>
          <w:numId w:val="2"/>
        </w:numPr>
        <w:suppressAutoHyphens w:val="false"/>
        <w:spacing w:lineRule="auto" w:line="360" w:before="0" w:after="239"/>
        <w:ind w:left="708" w:hanging="348"/>
        <w:rPr>
          <w:rFonts w:ascii="Times New Roman" w:hAnsi="Times New Roman"/>
          <w:sz w:val="24"/>
          <w:szCs w:val="24"/>
        </w:rPr>
      </w:pPr>
      <w:r>
        <w:rPr>
          <w:rFonts w:ascii="Times New Roman" w:hAnsi="Times New Roman"/>
          <w:sz w:val="24"/>
          <w:szCs w:val="24"/>
        </w:rPr>
        <w:t xml:space="preserve">l’obbligo a tenere indenne l’Azienda, degli oneri eventualmente sostenuti per la difesa in giudizio nonché delle spese e danni a cui gli stessi dovessero essere condannati con sentenza passata in giudicato. </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3" w:name="__RefHeading___Toc18890_272525276"/>
      <w:bookmarkEnd w:id="13"/>
      <w:r>
        <w:rPr>
          <w:rFonts w:eastAsia="Calibri" w:cs="Calibri" w:ascii="Times New Roman" w:hAnsi="Times New Roman"/>
          <w:b/>
          <w:bCs/>
          <w:color w:val="000000"/>
          <w:sz w:val="28"/>
          <w:szCs w:val="28"/>
          <w:lang w:val="it-IT" w:eastAsia="it-IT" w:bidi="ar-SA"/>
        </w:rPr>
        <w:t>11. Garanzia definitiva</w:t>
      </w:r>
    </w:p>
    <w:p>
      <w:pPr>
        <w:pStyle w:val="Normal"/>
        <w:spacing w:lineRule="auto" w:line="360"/>
        <w:ind w:left="-5" w:hanging="10"/>
        <w:rPr>
          <w:rFonts w:ascii="Times New Roman" w:hAnsi="Times New Roman"/>
          <w:sz w:val="24"/>
          <w:szCs w:val="24"/>
        </w:rPr>
      </w:pPr>
      <w:r>
        <w:rPr>
          <w:rFonts w:eastAsia="Times New Roman" w:cs="Times New Roman" w:ascii="Times New Roman" w:hAnsi="Times New Roman"/>
          <w:sz w:val="24"/>
          <w:szCs w:val="24"/>
        </w:rPr>
        <w:t xml:space="preserve"> </w:t>
      </w:r>
      <w:r>
        <w:rPr>
          <w:rFonts w:ascii="Times New Roman" w:hAnsi="Times New Roman"/>
          <w:sz w:val="24"/>
          <w:szCs w:val="24"/>
        </w:rPr>
        <w:t>A copertura del corretto adempimento di tutti gli obblighi previsti dal presente capitolato, prima della stipulazione del contratto</w:t>
      </w:r>
      <w:r>
        <w:rPr>
          <w:rFonts w:eastAsia="Times New Roman" w:cs="Times New Roman" w:ascii="Times New Roman" w:hAnsi="Times New Roman"/>
          <w:sz w:val="24"/>
          <w:szCs w:val="24"/>
        </w:rPr>
        <w:t xml:space="preserve"> </w:t>
      </w:r>
      <w:r>
        <w:rPr>
          <w:rFonts w:ascii="Times New Roman" w:hAnsi="Times New Roman"/>
          <w:sz w:val="24"/>
          <w:szCs w:val="24"/>
        </w:rPr>
        <w:t xml:space="preserve">il Fornitore dovrà costituire garanzia definitiva, a mezzo di fideiussione bancaria o assicurativa ai sensi dell’art. 117 del Codice.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La garanzia fideiussoria dovrà essere valida ed efficace per tutta la durata contrattuale e l’ASP ne disporrà lo svincolo dopo la scadenza del contratto o l’effettiva cessazione del servizio, previo accertamento del puntuale adempimento di tutti gli obblighi contrattuali.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L’ASP potrà, in qualunque momento, richiedere l’escussione della garanzia per il recupero dei crediti derivanti a proprio favore da inadempimento degli obblighi contrattuali da parte dell’aggiudicataria, fatto salvo il diritto al risarcimento di eventuali maggiori danni. </w:t>
      </w:r>
    </w:p>
    <w:p>
      <w:pPr>
        <w:pStyle w:val="Normal"/>
        <w:spacing w:lineRule="auto" w:line="360" w:before="0" w:after="239"/>
        <w:ind w:left="-5" w:hanging="10"/>
        <w:rPr>
          <w:rFonts w:ascii="Times New Roman" w:hAnsi="Times New Roman"/>
          <w:sz w:val="24"/>
          <w:szCs w:val="24"/>
        </w:rPr>
      </w:pPr>
      <w:r>
        <w:rPr>
          <w:rFonts w:ascii="Times New Roman" w:hAnsi="Times New Roman"/>
          <w:sz w:val="24"/>
          <w:szCs w:val="24"/>
        </w:rPr>
        <w:t xml:space="preserve">In caso di raggruppamenti temporanei, le garanzie fideiussorie sono presentate, su mandato irrevocabile, dalla mandataria in nome e per conto di tutti i concorrenti ferma restando la responsabilità solidale tra le imprese. </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4" w:name="__RefHeading___Toc18892_272525276"/>
      <w:bookmarkEnd w:id="14"/>
      <w:r>
        <w:rPr>
          <w:rFonts w:eastAsia="Calibri" w:cs="Calibri" w:ascii="Times New Roman" w:hAnsi="Times New Roman"/>
          <w:b/>
          <w:bCs/>
          <w:color w:val="000000"/>
          <w:sz w:val="28"/>
          <w:szCs w:val="28"/>
          <w:lang w:val="it-IT" w:eastAsia="it-IT" w:bidi="ar-SA"/>
        </w:rPr>
        <w:t>12. Penali</w:t>
      </w:r>
    </w:p>
    <w:p>
      <w:pPr>
        <w:pStyle w:val="Normal"/>
        <w:spacing w:lineRule="auto" w:line="360"/>
        <w:ind w:left="-5" w:hanging="10"/>
        <w:rPr/>
      </w:pPr>
      <w:r>
        <w:rPr>
          <w:rFonts w:ascii="Times New Roman" w:hAnsi="Times New Roman"/>
          <w:sz w:val="24"/>
          <w:szCs w:val="24"/>
        </w:rPr>
        <w:t xml:space="preserve">Qualora vengano rilevate a carico del Fornitore aggiudicatario inadempienze e/o mancato raggiungimento degli obiettivi e degli standard garantiti, l’ASP potrà contestare per iscritto l’inadempimento, chiedendo chiarimenti in ordine alle cause che l’hanno determinato, e fissando un termine non superiore a 5 giorni entro il quale dovranno pervenire le controdeduzioni scritte e/o dovranno essere rimosse le cause dell’inadempimento.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Qualora dette deduzioni non possano essere accolte, ad insindacabile giudizio dell’Azienda, ovvero non vi sia stata risposta o la stessa non sia giunta nel termine indicato, saranno applicate le penali di seguito indicate a decorrere dall’inizio dell’inadempimento. </w:t>
      </w:r>
    </w:p>
    <w:p>
      <w:pPr>
        <w:pStyle w:val="Normal"/>
        <w:spacing w:lineRule="auto" w:line="360"/>
        <w:ind w:left="-5" w:hanging="10"/>
        <w:rPr/>
      </w:pPr>
      <w:r>
        <w:rPr>
          <w:rFonts w:ascii="Times New Roman" w:hAnsi="Times New Roman"/>
          <w:sz w:val="24"/>
          <w:szCs w:val="24"/>
        </w:rPr>
        <w:t xml:space="preserve">L’ASP si riserva la facoltà comunque di procedere all’applicazione di penali e, nei casi più gravi o reiterati di inadempimenti non giustificati, direttamente alla risoluzione anticipata del contratto ai sensi della normativa vigente, fatto comunque salvo il risarcimento del maggior danno.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Nel caso di ritardi di consegna, ovvero nel caso di consegna dei prodotti di qualità difforme da quella commissionata con relativa richiesta di sostituzione, sarà applicata, per ogni giorno di ritardo, una penale compresa tra lo 0,3 per mille e l’1 per mille dell’ammontare netto contrattuale e comunque non superiore al 10% da determinare in relazione all’entità delle conseguenze legate all’eventuale ritardo.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Il Responsabile dell’esecuzione riferisce tempestivamente al RUP in merito agli eventuali ritardi rispetto alle prescrizioni contrattuali e qualora il ritardo medesimo determini un importo massimo della penale superiore al 10% dell’importo contrattuale, il RUP propone all’organo competente la risoluzione del contratto per grave inadempimento. </w:t>
      </w:r>
    </w:p>
    <w:p>
      <w:pPr>
        <w:pStyle w:val="Normal"/>
        <w:spacing w:lineRule="auto" w:line="360" w:before="0" w:after="35"/>
        <w:ind w:left="-5" w:hanging="10"/>
        <w:rPr>
          <w:rFonts w:ascii="Times New Roman" w:hAnsi="Times New Roman"/>
          <w:sz w:val="24"/>
          <w:szCs w:val="24"/>
        </w:rPr>
      </w:pPr>
      <w:r>
        <w:rPr>
          <w:rFonts w:ascii="Times New Roman" w:hAnsi="Times New Roman"/>
          <w:sz w:val="24"/>
          <w:szCs w:val="24"/>
        </w:rPr>
        <w:t xml:space="preserve">Nel caso in cui l’ordine sia stato parzialmente evaso dal fornitore nei termini prescritti dal presente capitolato, la penale sarà calcolata sulla quota parte dei quantitativi consegnati in ritardo.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Faranno fede le schede di validazione sottoscritte dai singoli responsabili di servizio e/o le segnalazioni di disservizi ed inadempimenti fornite dalle competenti strutture aziendali.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La richiesta e/o il pagamento delle penali non esonera in nessun caso l'aggiudicatario dall'adempimento dell'obbligazione per la quale sì è reso inadempiente e che ha fatto sorgere l'obbligo di pagamento della medesima penale. </w:t>
      </w:r>
    </w:p>
    <w:p>
      <w:pPr>
        <w:pStyle w:val="Normal"/>
        <w:spacing w:lineRule="auto" w:line="360"/>
        <w:ind w:left="-5" w:hanging="10"/>
        <w:rPr/>
      </w:pPr>
      <w:r>
        <w:rPr>
          <w:rFonts w:ascii="Times New Roman" w:hAnsi="Times New Roman"/>
          <w:sz w:val="24"/>
          <w:szCs w:val="24"/>
        </w:rPr>
        <w:t xml:space="preserve">L'Amministrazione, oltre all'applicazione della penale, ha la facoltà di esperire ogni azione per il risarcimento dell’eventuale maggior danno subito e delle maggiori spese sostenute in conseguenza dell'inadempimento contrattuale. </w:t>
      </w:r>
    </w:p>
    <w:p>
      <w:pPr>
        <w:pStyle w:val="Normal"/>
        <w:spacing w:lineRule="auto" w:line="360"/>
        <w:ind w:left="-5" w:hanging="10"/>
        <w:rPr/>
      </w:pPr>
      <w:r>
        <w:rPr>
          <w:rFonts w:ascii="Times New Roman" w:hAnsi="Times New Roman"/>
          <w:sz w:val="24"/>
          <w:szCs w:val="24"/>
        </w:rPr>
        <w:t>Si procederà al recupero delle penalità mediante ritenuta diretta sul corrispettivo del primo mese utile dopo l’adozione del provvedimento, fermo restando che</w:t>
      </w:r>
      <w:r>
        <w:rPr>
          <w:rFonts w:eastAsia="Times New Roman" w:cs="Times New Roman" w:ascii="Times New Roman" w:hAnsi="Times New Roman"/>
          <w:sz w:val="24"/>
          <w:szCs w:val="24"/>
        </w:rPr>
        <w:t xml:space="preserve"> </w:t>
      </w:r>
      <w:r>
        <w:rPr>
          <w:rFonts w:ascii="Times New Roman" w:hAnsi="Times New Roman"/>
          <w:sz w:val="24"/>
          <w:szCs w:val="24"/>
        </w:rPr>
        <w:t xml:space="preserve">il Fornitore sarà tenuto in ogni caso a sanare gli inconvenienti riscontrati.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Gli importi derivanti dall’applicazione delle penali potranno essere, in alternativa, applicati mediante l'incameramento della cauzione. </w:t>
      </w:r>
    </w:p>
    <w:p>
      <w:pPr>
        <w:pStyle w:val="Normal"/>
        <w:spacing w:lineRule="auto" w:line="360" w:before="0" w:after="239"/>
        <w:ind w:left="-5" w:hanging="10"/>
        <w:rPr>
          <w:rFonts w:ascii="Times New Roman" w:hAnsi="Times New Roman"/>
          <w:sz w:val="24"/>
          <w:szCs w:val="24"/>
        </w:rPr>
      </w:pPr>
      <w:r>
        <w:rPr>
          <w:rFonts w:ascii="Times New Roman" w:hAnsi="Times New Roman"/>
          <w:sz w:val="24"/>
          <w:szCs w:val="24"/>
        </w:rPr>
        <w:t xml:space="preserve">Nel caso in cui il Fornitore, ricevuta la contestazione, non fornisca giustificazione ritenuta adeguata o nel caso in cui non ottemperi nel tempo stabilito dalle richieste a sanare le criticità riscontrate come stabilito dal presente articolo, a seguito di n. 3 contestazioni formali consecutive, oltre che comportare l’applicazione delle penalità di cui al capitolato Tecnico di gara, le medesime saranno considerate gravi inadempimenti e la stazione appaltante potrà valutare una risoluzione contrattuale in danno. </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5" w:name="__RefHeading___Toc18894_272525276"/>
      <w:bookmarkEnd w:id="15"/>
      <w:r>
        <w:rPr>
          <w:rFonts w:eastAsia="Calibri" w:cs="Calibri" w:ascii="Times New Roman" w:hAnsi="Times New Roman"/>
          <w:b/>
          <w:bCs/>
          <w:color w:val="000000"/>
          <w:sz w:val="28"/>
          <w:szCs w:val="28"/>
          <w:lang w:val="it-IT" w:eastAsia="it-IT" w:bidi="ar-SA"/>
        </w:rPr>
        <w:t>13. Risoluzione del contratto e condizione risolutiva</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In caso di grave inadempimento del Fornitore agli obblighi assunti con il presente atto e relativi allegati, l’ASP provvederà ad inviare formale diffida, assegnando un tempo non inferiore a 15 (quindici) giorni dal ricevimento per adempiere. Decorso tale termine, qualora l’inadempimento perduri, il contratto si risolverà di diritto ex art. 1454 c.c. </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In ogni caso, il contratto si risolve ai sensi dell’art. 1456 c.c., mediante la seguente clausola risolutiva espressa, previa dichiarazione da comunicarsi al Fornitore con lettera raccomandata A/R o tramite PEC,  nelle seguenti ipotesi: </w:t>
      </w:r>
    </w:p>
    <w:p>
      <w:pPr>
        <w:pStyle w:val="Normal"/>
        <w:spacing w:lineRule="auto" w:line="360"/>
        <w:ind w:left="0" w:hanging="0"/>
        <w:jc w:val="left"/>
        <w:rPr/>
      </w:pPr>
      <w:r>
        <w:rPr>
          <w:rFonts w:ascii="Times New Roman" w:hAnsi="Times New Roman"/>
          <w:sz w:val="24"/>
          <w:szCs w:val="24"/>
        </w:rPr>
        <w:t xml:space="preserve"> </w:t>
      </w:r>
    </w:p>
    <w:p>
      <w:pPr>
        <w:pStyle w:val="Normal"/>
        <w:numPr>
          <w:ilvl w:val="0"/>
          <w:numId w:val="3"/>
        </w:numPr>
        <w:suppressAutoHyphens w:val="false"/>
        <w:spacing w:lineRule="auto" w:line="360" w:before="0" w:after="4"/>
        <w:ind w:left="708" w:hanging="348"/>
        <w:rPr/>
      </w:pPr>
      <w:r>
        <w:rPr>
          <w:rFonts w:ascii="Times New Roman" w:hAnsi="Times New Roman"/>
          <w:sz w:val="24"/>
          <w:szCs w:val="24"/>
        </w:rPr>
        <w:t xml:space="preserve">in caso di frode, di grave negligenza, di contravvenzione nell’esecuzione degli obblighi e condizioni contrattuali, di mancata reintegrazione del deposito cauzionale e di mancata copertura assicurativa dei rischi durante la vigenza del contratto o sua eventuale proroga;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in caso di mancato adempimento delle istruzioni e direttive fornite dall’amministrazione per l’avvio dell’esecuzione del contratto e di inosservanza reiterata dei contenuti dell’Offerta tecnica presentato in sede di gara;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in caso di cessione dell’attività, oppure nel caso di concordato preventivo (salvo il caso di concordato con continuità aziendale), di fallimento, di stato di moratoria e di conseguenti atti di sequestro o di pignoramento a carico del Fornitore;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nei casi di subappalto e/o cessione di crediti non autorizzati dall’Azienda </w:t>
      </w:r>
      <w:r>
        <w:rPr>
          <w:rFonts w:ascii="Times New Roman" w:hAnsi="Times New Roman"/>
          <w:sz w:val="24"/>
          <w:szCs w:val="24"/>
        </w:rPr>
        <w:t>Sanitaria Provinciale di Catanzaro</w:t>
      </w:r>
      <w:r>
        <w:rPr>
          <w:rFonts w:ascii="Times New Roman" w:hAnsi="Times New Roman"/>
          <w:sz w:val="24"/>
          <w:szCs w:val="24"/>
        </w:rPr>
        <w:t xml:space="preserve">;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nel caso di perdita dei requisiti minimi richiesti per l’affidamento dell’appalto previsti dagli atti di gara;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nei confronti dell’appaltatore sia intervenuta la decadenza dell’attestazione di qualificazione per aver prodotto falsa documentazione o dichiarazioni mendaci;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accertamento di false dichiarazioni emerse dopo la stipula del contratto, perdita dei requisiti per contrattare con la Pubblica Amministrazione, sospensione delle autorizzazioni di legge per l’esercizio dell’attività oggetto di appalto, applicazioni di sanzioni interdittive;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nei confronti dell’appaltatore sia intervenuto un provvedimento definitivo che dispone l’applicazione di una o più misure di prevenzione di cui al codice delle leggi antimafia e delle relative misure di prevenzione, ovvero sia intervenuta sentenza di condanna passata in giudicato per i reati di cui all’articolo 94 del Codice.;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qualora nel corso dell’esecuzione del contratto siano state applicate delle penali così come specificato nell’art. 17 del presente capitolato in numero superiore a 3;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per l’accertata inosservanza di disposizioni di legge, regolamenti, disposizioni del presente capitolato o del contratto di appalto;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nel caso in cui la prestazione non sia stata eseguita entro i termini prescritti, ovvero in caso di motivato esito negativo delle verifiche relative alla prevenzione degli infortuni, alla sicurezza sul lavoro e alle assicurazioni obbligatorie delle maestranze;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per un diverso assetto organizzativo dell’Azienda che faccia venir meno la necessità del servizio e che giustifichi in via di autotutela la sospensione e/o l’interruzione delle attività;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per motivi di pubblico interesse specificate nel provvedimento di risoluzione o qualora disposizioni legislative o regolamenti non dipendenti dalla volontà dell’Azienda non consentano la prosecuzione totale o parziale dell’appalto;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per l’avverarsi di altra fattispecie che faccia venire meno il rapporto di fiducia sottostante il presente contratto e/o ogni singolo rapporto attuativo; </w:t>
      </w:r>
    </w:p>
    <w:p>
      <w:pPr>
        <w:pStyle w:val="Normal"/>
        <w:numPr>
          <w:ilvl w:val="0"/>
          <w:numId w:val="3"/>
        </w:numPr>
        <w:suppressAutoHyphens w:val="false"/>
        <w:spacing w:lineRule="auto" w:line="360" w:before="0" w:after="4"/>
        <w:ind w:left="708" w:hanging="348"/>
        <w:rPr>
          <w:rFonts w:ascii="Times New Roman" w:hAnsi="Times New Roman"/>
          <w:sz w:val="24"/>
          <w:szCs w:val="24"/>
        </w:rPr>
      </w:pPr>
      <w:r>
        <w:rPr>
          <w:rFonts w:ascii="Times New Roman" w:hAnsi="Times New Roman"/>
          <w:sz w:val="24"/>
          <w:szCs w:val="24"/>
        </w:rPr>
        <w:t xml:space="preserve">nel caso di accertamento da parte dell’ASP della non conformità della fornitura per più di due volte. </w:t>
      </w:r>
    </w:p>
    <w:p>
      <w:pPr>
        <w:pStyle w:val="Titolo1"/>
        <w:spacing w:lineRule="auto" w:line="360"/>
        <w:jc w:val="left"/>
        <w:rPr/>
      </w:pPr>
      <w:bookmarkStart w:id="16" w:name="__RefHeading___Toc18896_272525276"/>
      <w:bookmarkEnd w:id="16"/>
      <w:r>
        <w:rPr>
          <w:rFonts w:eastAsia="Calibri" w:cs="Calibri" w:ascii="Times New Roman" w:hAnsi="Times New Roman"/>
          <w:b/>
          <w:bCs/>
          <w:color w:val="000000"/>
          <w:sz w:val="28"/>
          <w:szCs w:val="28"/>
          <w:lang w:val="it-IT" w:eastAsia="it-IT" w:bidi="ar-SA"/>
        </w:rPr>
        <w:t xml:space="preserve">14. Cessione del Contratto </w:t>
      </w:r>
    </w:p>
    <w:p>
      <w:pPr>
        <w:pStyle w:val="Normal"/>
        <w:spacing w:lineRule="auto" w:line="360" w:before="0" w:after="241"/>
        <w:ind w:left="-5" w:hanging="10"/>
        <w:rPr>
          <w:rFonts w:ascii="Times New Roman" w:hAnsi="Times New Roman"/>
          <w:sz w:val="24"/>
          <w:szCs w:val="24"/>
        </w:rPr>
      </w:pPr>
      <w:r>
        <w:rPr>
          <w:rFonts w:ascii="Times New Roman" w:hAnsi="Times New Roman"/>
          <w:sz w:val="24"/>
          <w:szCs w:val="24"/>
        </w:rPr>
        <w:t>L’Impresa contraente è tenuta ad eseguire il servizio di cui al presente Capitolato Speciale, pertanto il contratto derivante dall’esecuzione del servizio non può essere ceduto, a pena di nullità, salvo quanto previsto dal Codice.</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7" w:name="__RefHeading___Toc18898_272525276"/>
      <w:bookmarkEnd w:id="17"/>
      <w:r>
        <w:rPr>
          <w:rFonts w:eastAsia="Calibri" w:cs="Calibri" w:ascii="Times New Roman" w:hAnsi="Times New Roman"/>
          <w:b/>
          <w:bCs/>
          <w:color w:val="000000"/>
          <w:sz w:val="28"/>
          <w:szCs w:val="28"/>
          <w:lang w:val="it-IT" w:eastAsia="it-IT" w:bidi="ar-SA"/>
        </w:rPr>
        <w:t>15. Spese, imposte e tasse</w:t>
      </w:r>
    </w:p>
    <w:p>
      <w:pPr>
        <w:pStyle w:val="Normal"/>
        <w:spacing w:lineRule="auto" w:line="360" w:before="0" w:after="239"/>
        <w:ind w:left="-5" w:hanging="10"/>
        <w:rPr>
          <w:rFonts w:ascii="Times New Roman" w:hAnsi="Times New Roman"/>
          <w:sz w:val="24"/>
          <w:szCs w:val="24"/>
        </w:rPr>
      </w:pPr>
      <w:r>
        <w:rPr>
          <w:rFonts w:ascii="Times New Roman" w:hAnsi="Times New Roman"/>
          <w:sz w:val="24"/>
          <w:szCs w:val="24"/>
        </w:rPr>
        <w:t xml:space="preserve">Le spese, le imposte e le tasse derivanti dal presente capitolato e quelle contrattuali, nessuna esclusa od eccettuata, sono ad esclusivo carico dell’aggiudicataria.  </w:t>
      </w:r>
    </w:p>
    <w:p>
      <w:pPr>
        <w:pStyle w:val="Titolo1"/>
        <w:spacing w:lineRule="auto" w:line="360"/>
        <w:jc w:val="left"/>
        <w:rPr>
          <w:rFonts w:ascii="Times New Roman" w:hAnsi="Times New Roman" w:eastAsia="Calibri" w:cs="Calibri"/>
          <w:b/>
          <w:b/>
          <w:bCs/>
          <w:color w:val="000000"/>
          <w:sz w:val="28"/>
          <w:szCs w:val="28"/>
          <w:lang w:val="it-IT" w:eastAsia="it-IT" w:bidi="ar-SA"/>
        </w:rPr>
      </w:pPr>
      <w:bookmarkStart w:id="18" w:name="__RefHeading___Toc18900_272525276"/>
      <w:bookmarkEnd w:id="18"/>
      <w:r>
        <w:rPr>
          <w:rFonts w:eastAsia="Calibri" w:cs="Calibri" w:ascii="Times New Roman" w:hAnsi="Times New Roman"/>
          <w:b/>
          <w:bCs/>
          <w:color w:val="000000"/>
          <w:sz w:val="28"/>
          <w:szCs w:val="28"/>
          <w:lang w:val="it-IT" w:eastAsia="it-IT" w:bidi="ar-SA"/>
        </w:rPr>
        <w:t>16. Foro competente</w:t>
      </w:r>
    </w:p>
    <w:p>
      <w:pPr>
        <w:pStyle w:val="Normal"/>
        <w:spacing w:lineRule="auto" w:line="360"/>
        <w:ind w:left="-5" w:hanging="10"/>
        <w:rPr>
          <w:rFonts w:ascii="Times New Roman" w:hAnsi="Times New Roman"/>
          <w:sz w:val="24"/>
          <w:szCs w:val="24"/>
        </w:rPr>
      </w:pPr>
      <w:r>
        <w:rPr>
          <w:rFonts w:ascii="Times New Roman" w:hAnsi="Times New Roman"/>
          <w:sz w:val="24"/>
          <w:szCs w:val="24"/>
        </w:rPr>
        <w:t xml:space="preserve">Per eventuali controversie relative all’esecuzione del contratto il foro competente è quello di Catanzaro. </w:t>
      </w:r>
    </w:p>
    <w:p>
      <w:pPr>
        <w:pStyle w:val="Normal"/>
        <w:spacing w:lineRule="auto" w:line="360" w:before="0" w:after="241"/>
        <w:ind w:left="-5" w:hanging="10"/>
        <w:rPr>
          <w:rFonts w:ascii="Times New Roman" w:hAnsi="Times New Roman"/>
          <w:sz w:val="24"/>
          <w:szCs w:val="24"/>
        </w:rPr>
      </w:pPr>
      <w:r>
        <w:rPr>
          <w:rFonts w:ascii="Times New Roman" w:hAnsi="Times New Roman"/>
          <w:sz w:val="24"/>
          <w:szCs w:val="24"/>
        </w:rPr>
      </w:r>
    </w:p>
    <w:p>
      <w:pPr>
        <w:pStyle w:val="Normal"/>
        <w:widowControl w:val="false"/>
        <w:spacing w:lineRule="auto" w:line="360" w:before="0" w:after="235"/>
        <w:ind w:left="-5" w:hanging="10"/>
        <w:jc w:val="center"/>
        <w:rPr/>
      </w:pPr>
      <w:r>
        <w:rPr/>
      </w:r>
    </w:p>
    <w:sectPr>
      <w:headerReference w:type="default" r:id="rId4"/>
      <w:footerReference w:type="default" r:id="rId5"/>
      <w:type w:val="nextPage"/>
      <w:pgSz w:w="11906" w:h="16838"/>
      <w:pgMar w:left="1134" w:right="1082" w:header="1275" w:top="1332" w:footer="998" w:bottom="1534" w:gutter="0"/>
      <w:pgNumType w:fmt="decimal"/>
      <w:formProt w:val="false"/>
      <w:textDirection w:val="lrTb"/>
      <w:docGrid w:type="default" w:linePitch="2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w:charset w:val="00"/>
    <w:family w:val="swiss"/>
    <w:pitch w:val="variable"/>
  </w:font>
  <w:font w:name="Calibri Light">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1"/>
    <w:family w:val="swiss"/>
    <w:pitch w:val="variable"/>
  </w:font>
  <w:font w:name="Times New Roman">
    <w:charset w:val="01"/>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08" w:hanging="360"/>
      </w:pPr>
      <w:rPr>
        <w:rFonts w:ascii="Arial" w:hAnsi="Arial" w:cs="Arial" w:hint="default"/>
        <w:dstrike w:val="false"/>
        <w:strike w:val="false"/>
        <w:vertAlign w:val="baseline"/>
        <w:position w:val="0"/>
        <w:sz w:val="24"/>
        <w:sz w:val="24"/>
        <w:i w:val="false"/>
        <w:u w:val="none" w:color="000000"/>
        <w:b w:val="false"/>
        <w:szCs w:val="22"/>
        <w:highlight w:val="white"/>
        <w:rFonts w:cs="Arial"/>
        <w:color w:val="000000"/>
      </w:rPr>
    </w:lvl>
    <w:lvl w:ilvl="1">
      <w:start w:val="1"/>
      <w:numFmt w:val="bullet"/>
      <w:lvlText w:val="o"/>
      <w:lvlJc w:val="left"/>
      <w:pPr>
        <w:ind w:left="144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2">
      <w:start w:val="1"/>
      <w:numFmt w:val="bullet"/>
      <w:lvlText w:val="▪"/>
      <w:lvlJc w:val="left"/>
      <w:pPr>
        <w:ind w:left="216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3">
      <w:start w:val="1"/>
      <w:numFmt w:val="bullet"/>
      <w:lvlText w:val="•"/>
      <w:lvlJc w:val="left"/>
      <w:pPr>
        <w:ind w:left="288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4">
      <w:start w:val="1"/>
      <w:numFmt w:val="bullet"/>
      <w:lvlText w:val="o"/>
      <w:lvlJc w:val="left"/>
      <w:pPr>
        <w:ind w:left="360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5">
      <w:start w:val="1"/>
      <w:numFmt w:val="bullet"/>
      <w:lvlText w:val="▪"/>
      <w:lvlJc w:val="left"/>
      <w:pPr>
        <w:ind w:left="432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6">
      <w:start w:val="1"/>
      <w:numFmt w:val="bullet"/>
      <w:lvlText w:val="•"/>
      <w:lvlJc w:val="left"/>
      <w:pPr>
        <w:ind w:left="504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7">
      <w:start w:val="1"/>
      <w:numFmt w:val="bullet"/>
      <w:lvlText w:val="o"/>
      <w:lvlJc w:val="left"/>
      <w:pPr>
        <w:ind w:left="576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lvl w:ilvl="8">
      <w:start w:val="1"/>
      <w:numFmt w:val="bullet"/>
      <w:lvlText w:val="▪"/>
      <w:lvlJc w:val="left"/>
      <w:pPr>
        <w:ind w:left="6480" w:hanging="360"/>
      </w:pPr>
      <w:rPr>
        <w:rFonts w:ascii="Times New Roman" w:hAnsi="Times New Roman" w:cs="Times New Roman" w:hint="default"/>
        <w:dstrike w:val="false"/>
        <w:strike w:val="false"/>
        <w:vertAlign w:val="baseline"/>
        <w:position w:val="0"/>
        <w:sz w:val="22"/>
        <w:sz w:val="22"/>
        <w:i w:val="false"/>
        <w:u w:val="none" w:color="000000"/>
        <w:b w:val="false"/>
        <w:szCs w:val="22"/>
        <w:highlight w:val="white"/>
        <w:rFonts w:cs="Times New Roman"/>
        <w:color w:val="000000"/>
      </w:rPr>
    </w:lvl>
  </w:abstractNum>
  <w:abstractNum w:abstractNumId="2">
    <w:lvl w:ilvl="0">
      <w:start w:val="1"/>
      <w:numFmt w:val="decimal"/>
      <w:lvlText w:val="%1."/>
      <w:lvlJc w:val="left"/>
      <w:pPr>
        <w:ind w:left="708" w:hanging="360"/>
      </w:pPr>
      <w:rPr>
        <w:dstrike w:val="false"/>
        <w:strike w:val="false"/>
        <w:vertAlign w:val="baseline"/>
        <w:position w:val="0"/>
        <w:sz w:val="24"/>
        <w:sz w:val="24"/>
        <w:i w:val="false"/>
        <w:u w:val="none" w:color="000000"/>
        <w:b w:val="false"/>
        <w:szCs w:val="22"/>
        <w:highlight w:val="white"/>
        <w:rFonts w:ascii="Times New Roman" w:hAnsi="Times New Roman" w:eastAsia="Times New Roman" w:cs="Times New Roman"/>
        <w:color w:val="000000"/>
      </w:rPr>
    </w:lvl>
    <w:lvl w:ilvl="1">
      <w:start w:val="1"/>
      <w:numFmt w:val="lowerLetter"/>
      <w:lvlText w:val="%2"/>
      <w:lvlJc w:val="left"/>
      <w:pPr>
        <w:ind w:left="144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2">
      <w:start w:val="1"/>
      <w:numFmt w:val="lowerRoman"/>
      <w:lvlText w:val="%3"/>
      <w:lvlJc w:val="left"/>
      <w:pPr>
        <w:ind w:left="216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3">
      <w:start w:val="1"/>
      <w:numFmt w:val="decimal"/>
      <w:lvlText w:val="%4"/>
      <w:lvlJc w:val="left"/>
      <w:pPr>
        <w:ind w:left="288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4">
      <w:start w:val="1"/>
      <w:numFmt w:val="lowerLetter"/>
      <w:lvlText w:val="%5"/>
      <w:lvlJc w:val="left"/>
      <w:pPr>
        <w:ind w:left="360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5">
      <w:start w:val="1"/>
      <w:numFmt w:val="lowerRoman"/>
      <w:lvlText w:val="%6"/>
      <w:lvlJc w:val="left"/>
      <w:pPr>
        <w:ind w:left="432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6">
      <w:start w:val="1"/>
      <w:numFmt w:val="decimal"/>
      <w:lvlText w:val="%7"/>
      <w:lvlJc w:val="left"/>
      <w:pPr>
        <w:ind w:left="504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7">
      <w:start w:val="1"/>
      <w:numFmt w:val="lowerLetter"/>
      <w:lvlText w:val="%8"/>
      <w:lvlJc w:val="left"/>
      <w:pPr>
        <w:ind w:left="576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8">
      <w:start w:val="1"/>
      <w:numFmt w:val="lowerRoman"/>
      <w:lvlText w:val="%9"/>
      <w:lvlJc w:val="left"/>
      <w:pPr>
        <w:ind w:left="648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abstractNum>
  <w:abstractNum w:abstractNumId="3">
    <w:lvl w:ilvl="0">
      <w:start w:val="1"/>
      <w:numFmt w:val="decimal"/>
      <w:lvlText w:val="%1."/>
      <w:lvlJc w:val="left"/>
      <w:pPr>
        <w:ind w:left="708" w:hanging="360"/>
      </w:pPr>
      <w:rPr>
        <w:dstrike w:val="false"/>
        <w:strike w:val="false"/>
        <w:vertAlign w:val="baseline"/>
        <w:position w:val="0"/>
        <w:sz w:val="24"/>
        <w:sz w:val="24"/>
        <w:i w:val="false"/>
        <w:u w:val="none" w:color="000000"/>
        <w:b w:val="false"/>
        <w:szCs w:val="22"/>
        <w:highlight w:val="white"/>
        <w:rFonts w:ascii="Times New Roman" w:hAnsi="Times New Roman" w:eastAsia="Times New Roman" w:cs="Times New Roman"/>
        <w:color w:val="000000"/>
      </w:rPr>
    </w:lvl>
    <w:lvl w:ilvl="1">
      <w:start w:val="1"/>
      <w:numFmt w:val="lowerLetter"/>
      <w:lvlText w:val="%2"/>
      <w:lvlJc w:val="left"/>
      <w:pPr>
        <w:ind w:left="144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2">
      <w:start w:val="1"/>
      <w:numFmt w:val="lowerRoman"/>
      <w:lvlText w:val="%3"/>
      <w:lvlJc w:val="left"/>
      <w:pPr>
        <w:ind w:left="216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3">
      <w:start w:val="1"/>
      <w:numFmt w:val="decimal"/>
      <w:lvlText w:val="%4"/>
      <w:lvlJc w:val="left"/>
      <w:pPr>
        <w:ind w:left="288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4">
      <w:start w:val="1"/>
      <w:numFmt w:val="lowerLetter"/>
      <w:lvlText w:val="%5"/>
      <w:lvlJc w:val="left"/>
      <w:pPr>
        <w:ind w:left="360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5">
      <w:start w:val="1"/>
      <w:numFmt w:val="lowerRoman"/>
      <w:lvlText w:val="%6"/>
      <w:lvlJc w:val="left"/>
      <w:pPr>
        <w:ind w:left="432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6">
      <w:start w:val="1"/>
      <w:numFmt w:val="decimal"/>
      <w:lvlText w:val="%7"/>
      <w:lvlJc w:val="left"/>
      <w:pPr>
        <w:ind w:left="504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7">
      <w:start w:val="1"/>
      <w:numFmt w:val="lowerLetter"/>
      <w:lvlText w:val="%8"/>
      <w:lvlJc w:val="left"/>
      <w:pPr>
        <w:ind w:left="576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lvl w:ilvl="8">
      <w:start w:val="1"/>
      <w:numFmt w:val="lowerRoman"/>
      <w:lvlText w:val="%9"/>
      <w:lvlJc w:val="left"/>
      <w:pPr>
        <w:ind w:left="6480" w:hanging="360"/>
      </w:pPr>
      <w:rPr>
        <w:dstrike w:val="false"/>
        <w:strike w:val="false"/>
        <w:vertAlign w:val="baseline"/>
        <w:position w:val="0"/>
        <w:sz w:val="22"/>
        <w:sz w:val="22"/>
        <w:i w:val="false"/>
        <w:u w:val="none" w:color="000000"/>
        <w:b w:val="false"/>
        <w:szCs w:val="22"/>
        <w:highlight w:val="white"/>
        <w:rFonts w:eastAsia="Times New Roman" w:cs="Times New Roman"/>
        <w:color w:val="000000"/>
      </w:rPr>
    </w:lvl>
  </w:abstractNum>
  <w:abstractNum w:abstractNumId="4">
    <w:lvl w:ilvl="0">
      <w:start w:val="1"/>
      <w:numFmt w:val="decimal"/>
      <w:lvlText w:val="%1."/>
      <w:lvlJc w:val="left"/>
      <w:pPr>
        <w:tabs>
          <w:tab w:val="num" w:pos="1055"/>
        </w:tabs>
        <w:ind w:left="1055" w:hanging="360"/>
      </w:pPr>
    </w:lvl>
    <w:lvl w:ilvl="1">
      <w:start w:val="1"/>
      <w:numFmt w:val="decimal"/>
      <w:lvlText w:val="%2."/>
      <w:lvlJc w:val="left"/>
      <w:pPr>
        <w:tabs>
          <w:tab w:val="num" w:pos="1415"/>
        </w:tabs>
        <w:ind w:left="1415" w:hanging="360"/>
      </w:pPr>
    </w:lvl>
    <w:lvl w:ilvl="2">
      <w:start w:val="1"/>
      <w:numFmt w:val="decimal"/>
      <w:lvlText w:val="%3."/>
      <w:lvlJc w:val="left"/>
      <w:pPr>
        <w:tabs>
          <w:tab w:val="num" w:pos="1775"/>
        </w:tabs>
        <w:ind w:left="1775" w:hanging="360"/>
      </w:pPr>
    </w:lvl>
    <w:lvl w:ilvl="3">
      <w:start w:val="1"/>
      <w:numFmt w:val="decimal"/>
      <w:lvlText w:val="%4."/>
      <w:lvlJc w:val="left"/>
      <w:pPr>
        <w:tabs>
          <w:tab w:val="num" w:pos="2135"/>
        </w:tabs>
        <w:ind w:left="2135" w:hanging="360"/>
      </w:pPr>
    </w:lvl>
    <w:lvl w:ilvl="4">
      <w:start w:val="1"/>
      <w:numFmt w:val="decimal"/>
      <w:lvlText w:val="%5."/>
      <w:lvlJc w:val="left"/>
      <w:pPr>
        <w:tabs>
          <w:tab w:val="num" w:pos="2495"/>
        </w:tabs>
        <w:ind w:left="2495" w:hanging="360"/>
      </w:pPr>
    </w:lvl>
    <w:lvl w:ilvl="5">
      <w:start w:val="1"/>
      <w:numFmt w:val="decimal"/>
      <w:lvlText w:val="%6."/>
      <w:lvlJc w:val="left"/>
      <w:pPr>
        <w:tabs>
          <w:tab w:val="num" w:pos="2855"/>
        </w:tabs>
        <w:ind w:left="2855" w:hanging="360"/>
      </w:pPr>
    </w:lvl>
    <w:lvl w:ilvl="6">
      <w:start w:val="1"/>
      <w:numFmt w:val="decimal"/>
      <w:lvlText w:val="%7."/>
      <w:lvlJc w:val="left"/>
      <w:pPr>
        <w:tabs>
          <w:tab w:val="num" w:pos="3215"/>
        </w:tabs>
        <w:ind w:left="3215" w:hanging="360"/>
      </w:pPr>
    </w:lvl>
    <w:lvl w:ilvl="7">
      <w:start w:val="1"/>
      <w:numFmt w:val="decimal"/>
      <w:lvlText w:val="%8."/>
      <w:lvlJc w:val="left"/>
      <w:pPr>
        <w:tabs>
          <w:tab w:val="num" w:pos="3575"/>
        </w:tabs>
        <w:ind w:left="3575" w:hanging="360"/>
      </w:pPr>
    </w:lvl>
    <w:lvl w:ilvl="8">
      <w:start w:val="1"/>
      <w:numFmt w:val="decimal"/>
      <w:lvlText w:val="%9."/>
      <w:lvlJc w:val="left"/>
      <w:pPr>
        <w:tabs>
          <w:tab w:val="num" w:pos="3935"/>
        </w:tabs>
        <w:ind w:left="3935" w:hanging="360"/>
      </w:pPr>
    </w:lvl>
  </w:abstractNum>
  <w:abstractNum w:abstractNumId="5">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220"/>
  <w:defaultTabStop w:val="708"/>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it-IT"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Arial" w:asciiTheme="minorHAnsi" w:cstheme="minorBidi" w:eastAsiaTheme="minorEastAsia" w:hAnsiTheme="minorHAnsi"/>
        <w:szCs w:val="22"/>
        <w:lang w:val="it-IT" w:eastAsia="it-IT" w:bidi="ar-SA"/>
        <w14:ligatures w14:val="standardContextual"/>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360" w:before="0" w:after="0"/>
      <w:ind w:left="10" w:hanging="10"/>
      <w:jc w:val="both"/>
    </w:pPr>
    <w:rPr>
      <w:rFonts w:ascii="Arial" w:hAnsi="Arial" w:eastAsia="Arial" w:cs="Arial"/>
      <w:color w:val="000000"/>
      <w:sz w:val="22"/>
      <w:szCs w:val="22"/>
      <w:lang w:val="it-IT" w:eastAsia="it-IT" w:bidi="ar-SA"/>
    </w:rPr>
  </w:style>
  <w:style w:type="paragraph" w:styleId="Titolo1">
    <w:name w:val="Heading 1"/>
    <w:basedOn w:val="Titoloprincipale"/>
    <w:link w:val="Titolo1Carattere"/>
    <w:uiPriority w:val="9"/>
    <w:qFormat/>
    <w:pPr>
      <w:keepLines/>
      <w:spacing w:lineRule="auto" w:line="259" w:before="240" w:after="115"/>
      <w:ind w:left="924" w:right="459" w:hanging="10"/>
      <w:jc w:val="center"/>
      <w:outlineLvl w:val="0"/>
    </w:pPr>
    <w:rPr>
      <w:rFonts w:ascii="Calibri" w:hAnsi="Calibri" w:eastAsia="Calibri" w:cs="Calibri"/>
      <w:color w:val="001F5F"/>
      <w:sz w:val="32"/>
    </w:rPr>
  </w:style>
  <w:style w:type="paragraph" w:styleId="Titolo2">
    <w:name w:val="Heading 2"/>
    <w:basedOn w:val="Titoloprincipale"/>
    <w:link w:val="Titolo2Carattere"/>
    <w:uiPriority w:val="9"/>
    <w:unhideWhenUsed/>
    <w:qFormat/>
    <w:pPr>
      <w:keepLines/>
      <w:spacing w:lineRule="auto" w:line="259"/>
      <w:ind w:left="10" w:right="18" w:hanging="10"/>
      <w:jc w:val="right"/>
      <w:outlineLvl w:val="1"/>
    </w:pPr>
    <w:rPr>
      <w:rFonts w:ascii="Calibri" w:hAnsi="Calibri" w:eastAsia="Calibri" w:cs="Calibri"/>
      <w:color w:val="001F5F"/>
      <w:sz w:val="24"/>
    </w:rPr>
  </w:style>
  <w:style w:type="paragraph" w:styleId="Titolo3">
    <w:name w:val="Heading 3"/>
    <w:basedOn w:val="Normal"/>
    <w:link w:val="Titolo3Carattere"/>
    <w:uiPriority w:val="9"/>
    <w:semiHidden/>
    <w:unhideWhenUsed/>
    <w:qFormat/>
    <w:rsid w:val="00252943"/>
    <w:pPr>
      <w:keepNext/>
      <w:keepLines/>
      <w:spacing w:before="40" w:after="0"/>
      <w:outlineLvl w:val="2"/>
    </w:pPr>
    <w:rPr>
      <w:rFonts w:ascii="Calibri Light" w:hAnsi="Calibri Light" w:eastAsia="" w:cs="Times New Roman"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Titolo2Carattere" w:customStyle="1">
    <w:name w:val="Titolo 2 Carattere"/>
    <w:link w:val="Titolo2"/>
    <w:qFormat/>
    <w:rPr>
      <w:rFonts w:ascii="Calibri" w:hAnsi="Calibri" w:eastAsia="Calibri" w:cs="Calibri"/>
      <w:color w:val="001F5F"/>
      <w:sz w:val="24"/>
    </w:rPr>
  </w:style>
  <w:style w:type="character" w:styleId="Titolo1Carattere" w:customStyle="1">
    <w:name w:val="Titolo 1 Carattere"/>
    <w:link w:val="Titolo1"/>
    <w:qFormat/>
    <w:rPr>
      <w:rFonts w:ascii="Calibri" w:hAnsi="Calibri" w:eastAsia="Calibri" w:cs="Calibri"/>
      <w:color w:val="001F5F"/>
      <w:sz w:val="32"/>
    </w:rPr>
  </w:style>
  <w:style w:type="character" w:styleId="Titolo3Carattere" w:customStyle="1">
    <w:name w:val="Titolo 3 Carattere"/>
    <w:basedOn w:val="DefaultParagraphFont"/>
    <w:link w:val="Titolo3"/>
    <w:uiPriority w:val="9"/>
    <w:semiHidden/>
    <w:qFormat/>
    <w:rsid w:val="00252943"/>
    <w:rPr>
      <w:rFonts w:ascii="Calibri Light" w:hAnsi="Calibri Light" w:eastAsia="" w:cs="Times New Roman" w:asciiTheme="majorHAnsi" w:cstheme="majorBidi" w:eastAsiaTheme="majorEastAsia" w:hAnsiTheme="majorHAnsi"/>
      <w:color w:val="1F3763" w:themeColor="accent1" w:themeShade="7f"/>
      <w:sz w:val="24"/>
      <w:szCs w:val="24"/>
    </w:rPr>
  </w:style>
  <w:style w:type="character" w:styleId="CollegamentoInternet">
    <w:name w:val="Collegamento Internet"/>
    <w:rPr>
      <w:color w:val="000080"/>
      <w:u w:val="single"/>
      <w:lang w:val="zxx" w:eastAsia="zxx" w:bidi="zxx"/>
    </w:rPr>
  </w:style>
  <w:style w:type="character" w:styleId="Saltoaindice">
    <w:name w:val="Salto a indice"/>
    <w:qFormat/>
    <w:rPr/>
  </w:style>
  <w:style w:type="character" w:styleId="Caratteredinumerazione">
    <w:name w:val="Carattere di numerazione"/>
    <w:qFormat/>
    <w:rPr/>
  </w:style>
  <w:style w:type="character" w:styleId="Punti">
    <w:name w:val="Punti"/>
    <w:qFormat/>
    <w:rPr>
      <w:rFonts w:ascii="OpenSymbol" w:hAnsi="OpenSymbol" w:eastAsia="OpenSymbol" w:cs="OpenSymbol"/>
    </w:rPr>
  </w:style>
  <w:style w:type="character" w:styleId="ListLabel1">
    <w:name w:val="ListLabel 1"/>
    <w:qFormat/>
    <w:rPr>
      <w:rFonts w:ascii="Times New Roman" w:hAnsi="Times New Roman" w:cs="Arial"/>
      <w:b w:val="false"/>
      <w:i w:val="false"/>
      <w:strike w:val="false"/>
      <w:dstrike w:val="false"/>
      <w:color w:val="000000"/>
      <w:position w:val="0"/>
      <w:sz w:val="24"/>
      <w:sz w:val="24"/>
      <w:szCs w:val="22"/>
      <w:highlight w:val="white"/>
      <w:u w:val="none" w:color="000000"/>
      <w:vertAlign w:val="baseline"/>
    </w:rPr>
  </w:style>
  <w:style w:type="character" w:styleId="ListLabel2">
    <w:name w:val="ListLabel 2"/>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3">
    <w:name w:val="ListLabel 3"/>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
    <w:name w:val="ListLabel 4"/>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5">
    <w:name w:val="ListLabel 5"/>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6">
    <w:name w:val="ListLabel 6"/>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7">
    <w:name w:val="ListLabel 7"/>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8">
    <w:name w:val="ListLabel 8"/>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9">
    <w:name w:val="ListLabel 9"/>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10">
    <w:name w:val="ListLabel 10"/>
    <w:qFormat/>
    <w:rPr>
      <w:rFonts w:ascii="Times New Roman" w:hAnsi="Times New Roman" w:eastAsia="Times New Roman" w:cs="Times New Roman"/>
      <w:b w:val="false"/>
      <w:i w:val="false"/>
      <w:strike w:val="false"/>
      <w:dstrike w:val="false"/>
      <w:color w:val="000000"/>
      <w:position w:val="0"/>
      <w:sz w:val="24"/>
      <w:sz w:val="24"/>
      <w:szCs w:val="22"/>
      <w:highlight w:val="white"/>
      <w:u w:val="none" w:color="000000"/>
      <w:vertAlign w:val="baseline"/>
    </w:rPr>
  </w:style>
  <w:style w:type="character" w:styleId="ListLabel11">
    <w:name w:val="ListLabel 11"/>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2">
    <w:name w:val="ListLabel 12"/>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3">
    <w:name w:val="ListLabel 13"/>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4">
    <w:name w:val="ListLabel 14"/>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5">
    <w:name w:val="ListLabel 15"/>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6">
    <w:name w:val="ListLabel 16"/>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7">
    <w:name w:val="ListLabel 17"/>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8">
    <w:name w:val="ListLabel 18"/>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19">
    <w:name w:val="ListLabel 19"/>
    <w:qFormat/>
    <w:rPr>
      <w:rFonts w:ascii="Times New Roman" w:hAnsi="Times New Roman" w:eastAsia="Times New Roman" w:cs="Times New Roman"/>
      <w:b w:val="false"/>
      <w:i w:val="false"/>
      <w:strike w:val="false"/>
      <w:dstrike w:val="false"/>
      <w:color w:val="000000"/>
      <w:position w:val="0"/>
      <w:sz w:val="24"/>
      <w:sz w:val="24"/>
      <w:szCs w:val="22"/>
      <w:highlight w:val="white"/>
      <w:u w:val="none" w:color="000000"/>
      <w:vertAlign w:val="baseline"/>
    </w:rPr>
  </w:style>
  <w:style w:type="character" w:styleId="ListLabel20">
    <w:name w:val="ListLabel 20"/>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1">
    <w:name w:val="ListLabel 21"/>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2">
    <w:name w:val="ListLabel 22"/>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3">
    <w:name w:val="ListLabel 23"/>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4">
    <w:name w:val="ListLabel 24"/>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5">
    <w:name w:val="ListLabel 25"/>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6">
    <w:name w:val="ListLabel 26"/>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7">
    <w:name w:val="ListLabel 27"/>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28">
    <w:name w:val="ListLabel 28"/>
    <w:qFormat/>
    <w:rPr>
      <w:rFonts w:ascii="Times New Roman" w:hAnsi="Times New Roman" w:cs="Symbol"/>
      <w:sz w:val="24"/>
    </w:rPr>
  </w:style>
  <w:style w:type="character" w:styleId="ListLabel29">
    <w:name w:val="ListLabel 29"/>
    <w:qFormat/>
    <w:rPr>
      <w:rFonts w:cs="OpenSymbol"/>
    </w:rPr>
  </w:style>
  <w:style w:type="character" w:styleId="ListLabel30">
    <w:name w:val="ListLabel 30"/>
    <w:qFormat/>
    <w:rPr>
      <w:rFonts w:cs="OpenSymbol"/>
    </w:rPr>
  </w:style>
  <w:style w:type="character" w:styleId="ListLabel31">
    <w:name w:val="ListLabel 31"/>
    <w:qFormat/>
    <w:rPr>
      <w:rFonts w:cs="Symbol"/>
    </w:rPr>
  </w:style>
  <w:style w:type="character" w:styleId="ListLabel32">
    <w:name w:val="ListLabel 32"/>
    <w:qFormat/>
    <w:rPr>
      <w:rFonts w:cs="OpenSymbol"/>
    </w:rPr>
  </w:style>
  <w:style w:type="character" w:styleId="ListLabel33">
    <w:name w:val="ListLabel 33"/>
    <w:qFormat/>
    <w:rPr>
      <w:rFonts w:cs="OpenSymbol"/>
    </w:rPr>
  </w:style>
  <w:style w:type="character" w:styleId="ListLabel34">
    <w:name w:val="ListLabel 34"/>
    <w:qFormat/>
    <w:rPr>
      <w:rFonts w:cs="Symbol"/>
    </w:rPr>
  </w:style>
  <w:style w:type="character" w:styleId="ListLabel35">
    <w:name w:val="ListLabel 35"/>
    <w:qFormat/>
    <w:rPr>
      <w:rFonts w:cs="OpenSymbol"/>
    </w:rPr>
  </w:style>
  <w:style w:type="character" w:styleId="ListLabel36">
    <w:name w:val="ListLabel 36"/>
    <w:qFormat/>
    <w:rPr>
      <w:rFonts w:cs="OpenSymbol"/>
    </w:rPr>
  </w:style>
  <w:style w:type="character" w:styleId="ListLabel37">
    <w:name w:val="ListLabel 37"/>
    <w:qFormat/>
    <w:rPr>
      <w:rFonts w:ascii="Times New Roman" w:hAnsi="Times New Roman" w:cs="Arial"/>
      <w:b w:val="false"/>
      <w:i w:val="false"/>
      <w:strike w:val="false"/>
      <w:dstrike w:val="false"/>
      <w:color w:val="000000"/>
      <w:position w:val="0"/>
      <w:sz w:val="24"/>
      <w:sz w:val="24"/>
      <w:szCs w:val="22"/>
      <w:highlight w:val="white"/>
      <w:u w:val="none" w:color="000000"/>
      <w:vertAlign w:val="baseline"/>
    </w:rPr>
  </w:style>
  <w:style w:type="character" w:styleId="ListLabel38">
    <w:name w:val="ListLabel 38"/>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39">
    <w:name w:val="ListLabel 39"/>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0">
    <w:name w:val="ListLabel 40"/>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1">
    <w:name w:val="ListLabel 41"/>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2">
    <w:name w:val="ListLabel 42"/>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3">
    <w:name w:val="ListLabel 43"/>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4">
    <w:name w:val="ListLabel 44"/>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5">
    <w:name w:val="ListLabel 45"/>
    <w:qFormat/>
    <w:rPr>
      <w:rFonts w:cs="Times New Roman"/>
      <w:b w:val="false"/>
      <w:i w:val="false"/>
      <w:strike w:val="false"/>
      <w:dstrike w:val="false"/>
      <w:color w:val="000000"/>
      <w:position w:val="0"/>
      <w:sz w:val="22"/>
      <w:sz w:val="22"/>
      <w:szCs w:val="22"/>
      <w:highlight w:val="white"/>
      <w:u w:val="none" w:color="000000"/>
      <w:vertAlign w:val="baseline"/>
    </w:rPr>
  </w:style>
  <w:style w:type="character" w:styleId="ListLabel46">
    <w:name w:val="ListLabel 46"/>
    <w:qFormat/>
    <w:rPr>
      <w:rFonts w:ascii="Times New Roman" w:hAnsi="Times New Roman" w:eastAsia="Times New Roman" w:cs="Times New Roman"/>
      <w:b w:val="false"/>
      <w:i w:val="false"/>
      <w:strike w:val="false"/>
      <w:dstrike w:val="false"/>
      <w:color w:val="000000"/>
      <w:position w:val="0"/>
      <w:sz w:val="24"/>
      <w:sz w:val="24"/>
      <w:szCs w:val="22"/>
      <w:highlight w:val="white"/>
      <w:u w:val="none" w:color="000000"/>
      <w:vertAlign w:val="baseline"/>
    </w:rPr>
  </w:style>
  <w:style w:type="character" w:styleId="ListLabel47">
    <w:name w:val="ListLabel 47"/>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48">
    <w:name w:val="ListLabel 48"/>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49">
    <w:name w:val="ListLabel 49"/>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0">
    <w:name w:val="ListLabel 50"/>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1">
    <w:name w:val="ListLabel 51"/>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2">
    <w:name w:val="ListLabel 52"/>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3">
    <w:name w:val="ListLabel 53"/>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4">
    <w:name w:val="ListLabel 54"/>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5">
    <w:name w:val="ListLabel 55"/>
    <w:qFormat/>
    <w:rPr>
      <w:rFonts w:ascii="Times New Roman" w:hAnsi="Times New Roman" w:eastAsia="Times New Roman" w:cs="Times New Roman"/>
      <w:b w:val="false"/>
      <w:i w:val="false"/>
      <w:strike w:val="false"/>
      <w:dstrike w:val="false"/>
      <w:color w:val="000000"/>
      <w:position w:val="0"/>
      <w:sz w:val="24"/>
      <w:sz w:val="24"/>
      <w:szCs w:val="22"/>
      <w:highlight w:val="white"/>
      <w:u w:val="none" w:color="000000"/>
      <w:vertAlign w:val="baseline"/>
    </w:rPr>
  </w:style>
  <w:style w:type="character" w:styleId="ListLabel56">
    <w:name w:val="ListLabel 56"/>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7">
    <w:name w:val="ListLabel 57"/>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8">
    <w:name w:val="ListLabel 58"/>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59">
    <w:name w:val="ListLabel 59"/>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60">
    <w:name w:val="ListLabel 60"/>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61">
    <w:name w:val="ListLabel 61"/>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62">
    <w:name w:val="ListLabel 62"/>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63">
    <w:name w:val="ListLabel 63"/>
    <w:qFormat/>
    <w:rPr>
      <w:rFonts w:eastAsia="Times New Roman" w:cs="Times New Roman"/>
      <w:b w:val="false"/>
      <w:i w:val="false"/>
      <w:strike w:val="false"/>
      <w:dstrike w:val="false"/>
      <w:color w:val="000000"/>
      <w:position w:val="0"/>
      <w:sz w:val="22"/>
      <w:sz w:val="22"/>
      <w:szCs w:val="22"/>
      <w:highlight w:val="white"/>
      <w:u w:val="none" w:color="000000"/>
      <w:vertAlign w:val="baseline"/>
    </w:rPr>
  </w:style>
  <w:style w:type="character" w:styleId="ListLabel64">
    <w:name w:val="ListLabel 64"/>
    <w:qFormat/>
    <w:rPr>
      <w:rFonts w:ascii="Times New Roman" w:hAnsi="Times New Roman" w:cs="Symbol"/>
      <w:sz w:val="24"/>
    </w:rPr>
  </w:style>
  <w:style w:type="character" w:styleId="ListLabel65">
    <w:name w:val="ListLabel 65"/>
    <w:qFormat/>
    <w:rPr>
      <w:rFonts w:cs="OpenSymbol"/>
    </w:rPr>
  </w:style>
  <w:style w:type="character" w:styleId="ListLabel66">
    <w:name w:val="ListLabel 66"/>
    <w:qFormat/>
    <w:rPr>
      <w:rFonts w:cs="OpenSymbol"/>
    </w:rPr>
  </w:style>
  <w:style w:type="character" w:styleId="ListLabel67">
    <w:name w:val="ListLabel 67"/>
    <w:qFormat/>
    <w:rPr>
      <w:rFonts w:cs="Symbol"/>
    </w:rPr>
  </w:style>
  <w:style w:type="character" w:styleId="ListLabel68">
    <w:name w:val="ListLabel 68"/>
    <w:qFormat/>
    <w:rPr>
      <w:rFonts w:cs="OpenSymbol"/>
    </w:rPr>
  </w:style>
  <w:style w:type="character" w:styleId="ListLabel69">
    <w:name w:val="ListLabel 69"/>
    <w:qFormat/>
    <w:rPr>
      <w:rFonts w:cs="OpenSymbol"/>
    </w:rPr>
  </w:style>
  <w:style w:type="character" w:styleId="ListLabel70">
    <w:name w:val="ListLabel 70"/>
    <w:qFormat/>
    <w:rPr>
      <w:rFonts w:cs="Symbol"/>
    </w:rPr>
  </w:style>
  <w:style w:type="character" w:styleId="ListLabel71">
    <w:name w:val="ListLabel 71"/>
    <w:qFormat/>
    <w:rPr>
      <w:rFonts w:cs="OpenSymbol"/>
    </w:rPr>
  </w:style>
  <w:style w:type="character" w:styleId="ListLabel72">
    <w:name w:val="ListLabel 72"/>
    <w:qFormat/>
    <w:rPr>
      <w:rFonts w:cs="OpenSymbol"/>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Titoloprincipale">
    <w:name w:val="Title"/>
    <w:basedOn w:val="Normal"/>
    <w:qFormat/>
    <w:pPr>
      <w:keepNext/>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Default" w:customStyle="1">
    <w:name w:val="Default"/>
    <w:qFormat/>
    <w:rsid w:val="001c1546"/>
    <w:pPr>
      <w:widowControl/>
      <w:suppressAutoHyphens w:val="true"/>
      <w:bidi w:val="0"/>
      <w:spacing w:before="0" w:after="0"/>
      <w:jc w:val="left"/>
    </w:pPr>
    <w:rPr>
      <w:rFonts w:ascii="Calibri" w:hAnsi="Calibri" w:eastAsia="Calibri" w:cs="Calibri" w:eastAsiaTheme="minorHAnsi"/>
      <w:color w:val="000000"/>
      <w:sz w:val="24"/>
      <w:szCs w:val="24"/>
      <w:lang w:val="it-IT" w:eastAsia="en-US" w:bidi="ar-SA"/>
      <w14:ligatures w14:val="none"/>
    </w:rPr>
  </w:style>
  <w:style w:type="paragraph" w:styleId="ListParagraph">
    <w:name w:val="List Paragraph"/>
    <w:basedOn w:val="Normal"/>
    <w:uiPriority w:val="34"/>
    <w:qFormat/>
    <w:rsid w:val="008f3794"/>
    <w:pPr>
      <w:suppressAutoHyphens w:val="false"/>
      <w:spacing w:lineRule="auto" w:line="259" w:before="0" w:after="160"/>
      <w:ind w:left="720" w:hanging="0"/>
      <w:contextualSpacing/>
      <w:jc w:val="left"/>
    </w:pPr>
    <w:rPr>
      <w:rFonts w:ascii="Calibri" w:hAnsi="Calibri" w:eastAsia="Calibri" w:cs="Arial" w:asciiTheme="minorHAnsi" w:cstheme="minorBidi" w:eastAsiaTheme="minorHAnsi" w:hAnsiTheme="minorHAnsi"/>
      <w:color w:val="00000A"/>
      <w:lang w:eastAsia="en-US"/>
      <w14:ligatures w14:val="none"/>
    </w:rPr>
  </w:style>
  <w:style w:type="paragraph" w:styleId="TOAHeading">
    <w:name w:val="TOA Heading"/>
    <w:basedOn w:val="Titolo"/>
    <w:qFormat/>
    <w:pPr>
      <w:suppressLineNumbers/>
      <w:ind w:left="0" w:hanging="0"/>
    </w:pPr>
    <w:rPr>
      <w:b/>
      <w:bCs/>
      <w:sz w:val="32"/>
      <w:szCs w:val="32"/>
    </w:rPr>
  </w:style>
  <w:style w:type="paragraph" w:styleId="Indice1">
    <w:name w:val="TOC 1"/>
    <w:basedOn w:val="Normal"/>
    <w:pPr>
      <w:widowControl w:val="false"/>
      <w:spacing w:lineRule="exact" w:line="243" w:before="0" w:after="0"/>
      <w:ind w:left="771" w:right="0" w:hanging="437"/>
    </w:pPr>
    <w:rPr>
      <w:rFonts w:ascii="Calibri" w:hAnsi="Calibri" w:eastAsia="Calibri" w:cs="Calibri"/>
      <w:sz w:val="20"/>
      <w:szCs w:val="20"/>
    </w:rPr>
  </w:style>
  <w:style w:type="paragraph" w:styleId="Indice2">
    <w:name w:val="TOC 2"/>
    <w:basedOn w:val="Indice"/>
    <w:pPr/>
    <w:rPr/>
  </w:style>
  <w:style w:type="paragraph" w:styleId="Intestazioneepidipagina">
    <w:name w:val="Intestazione e piè di pagina"/>
    <w:basedOn w:val="Normal"/>
    <w:qFormat/>
    <w:pPr/>
    <w:rPr/>
  </w:style>
  <w:style w:type="paragraph" w:styleId="Intestazione">
    <w:name w:val="Header"/>
    <w:basedOn w:val="Normal"/>
    <w:pPr/>
    <w:rPr/>
  </w:style>
  <w:style w:type="paragraph" w:styleId="Contenutocornice">
    <w:name w:val="Contenuto cornice"/>
    <w:basedOn w:val="Normal"/>
    <w:qFormat/>
    <w:pPr>
      <w:suppressAutoHyphens w:val="true"/>
      <w:spacing w:lineRule="auto" w:line="240" w:before="0" w:after="0"/>
    </w:pPr>
    <w:rPr>
      <w:rFonts w:ascii="Times New Roman" w:hAnsi="Times New Roman" w:eastAsia="Times New Roman" w:cs="Times New Roman"/>
      <w:sz w:val="24"/>
      <w:szCs w:val="24"/>
      <w:lang w:eastAsia="ar-SA"/>
    </w:rPr>
  </w:style>
  <w:style w:type="paragraph" w:styleId="NormalWeb">
    <w:name w:val="Normal (Web)"/>
    <w:basedOn w:val="Normal"/>
    <w:qFormat/>
    <w:pPr>
      <w:spacing w:lineRule="auto" w:line="240" w:beforeAutospacing="1" w:after="0"/>
    </w:pPr>
    <w:rPr>
      <w:rFonts w:ascii="Times New Roman" w:hAnsi="Times New Roman" w:eastAsia="Times New Roman" w:cs="Times New Roman"/>
      <w:sz w:val="24"/>
      <w:szCs w:val="24"/>
      <w:lang w:eastAsia="it-IT"/>
    </w:rPr>
  </w:style>
  <w:style w:type="paragraph" w:styleId="Pidipagina">
    <w:name w:val="Footer"/>
    <w:basedOn w:val="Normal"/>
    <w:pPr/>
    <w:rPr/>
  </w:style>
  <w:style w:type="paragraph" w:styleId="Contenutotabella">
    <w:name w:val="Contenuto tabella"/>
    <w:basedOn w:val="Normal"/>
    <w:qFormat/>
    <w:pPr/>
    <w:rPr/>
  </w:style>
  <w:style w:type="paragraph" w:styleId="Titolotabella">
    <w:name w:val="Titolo tabella"/>
    <w:basedOn w:val="Contenutotabella"/>
    <w:qFormat/>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Application>LibreOffice/5.1.6.2$Windows_X86_64 LibreOffice_project/07ac168c60a517dba0f0d7bc7540f5afa45f0909</Application>
  <Pages>14</Pages>
  <Words>4139</Words>
  <Characters>24732</Characters>
  <CharactersWithSpaces>28719</CharactersWithSpaces>
  <Paragraphs>231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2025-08-05T06:34:00Z</dcterms:created>
  <dc:creator>Surface</dc:creator>
  <dc:description/>
  <dc:language>it-IT</dc:language>
  <cp:lastModifiedBy/>
  <dcterms:modified xsi:type="dcterms:W3CDTF">2025-09-29T11:57:51Z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